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667"/>
        <w:jc w:val="right"/>
        <w:keepLines/>
        <w:keepNext/>
        <w:rPr>
          <w:bCs/>
          <w:sz w:val="26"/>
          <w:szCs w:val="26"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jc w:val="center"/>
        <w:keepLines/>
        <w:keepNext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 xml:space="preserve">Технические требования </w:t>
      </w:r>
      <w:r>
        <w:rPr>
          <w:rFonts w:eastAsia="Calibri"/>
          <w:b/>
          <w:sz w:val="32"/>
          <w:szCs w:val="32"/>
        </w:rPr>
      </w:r>
    </w:p>
    <w:p>
      <w:pPr>
        <w:pStyle w:val="667"/>
        <w:keepLines/>
        <w:keepNext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  <w:r>
        <w:rPr>
          <w:rFonts w:eastAsia="Calibri"/>
          <w:b/>
          <w:sz w:val="32"/>
          <w:szCs w:val="32"/>
        </w:rPr>
      </w:r>
    </w:p>
    <w:p>
      <w:pPr>
        <w:pStyle w:val="667"/>
        <w:jc w:val="center"/>
        <w:rPr>
          <w:highlight w:val="none"/>
          <w:shd w:val="clear" w:color="auto" w:fill="auto"/>
        </w:rPr>
      </w:pPr>
      <w:r>
        <w:rPr>
          <w:rFonts w:eastAsia="Calibri"/>
          <w:b w:val="0"/>
          <w:bCs w:val="0"/>
          <w:i w:val="0"/>
          <w:iCs w:val="0"/>
          <w:sz w:val="28"/>
          <w:szCs w:val="28"/>
          <w:shd w:val="clear" w:color="auto" w:fill="auto"/>
        </w:rPr>
        <w:t xml:space="preserve">ОКПД2 71.12. Оказание услуг по проведению комплексного технического обследования здания Административного корпуса СУ ТЭЦ г. Благовещенск для Амурских тепловых сетей</w:t>
      </w:r>
      <w:r>
        <w:rPr>
          <w:highlight w:val="none"/>
          <w:shd w:val="clear" w:color="auto" w:fill="auto"/>
        </w:rPr>
      </w:r>
    </w:p>
    <w:p>
      <w:pPr>
        <w:pStyle w:val="667"/>
        <w:jc w:val="center"/>
        <w:keepLines/>
        <w:keepNext/>
        <w:rPr>
          <w:highlight w:val="none"/>
          <w:shd w:val="clear" w:color="auto" w:fill="auto"/>
        </w:rPr>
      </w:pPr>
      <w:r>
        <w:rPr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67"/>
        <w:jc w:val="center"/>
        <w:keepLines/>
        <w:keepNext/>
        <w:rPr>
          <w:b w:val="0"/>
          <w:bCs w:val="0"/>
          <w:i w:val="0"/>
          <w:iCs w:val="0"/>
          <w:sz w:val="28"/>
          <w:szCs w:val="28"/>
          <w:shd w:val="clear" w:color="auto" w:fill="ffffff"/>
        </w:rPr>
      </w:pPr>
      <w:r>
        <w:rPr>
          <w:rFonts w:eastAsia="Calibri"/>
          <w:b w:val="0"/>
          <w:bCs w:val="0"/>
          <w:i w:val="0"/>
          <w:iCs w:val="0"/>
          <w:strike w:val="0"/>
          <w:sz w:val="28"/>
          <w:szCs w:val="28"/>
          <w:u w:val="none"/>
          <w:shd w:val="clear" w:color="auto" w:fill="ffffff"/>
        </w:rPr>
        <w:t xml:space="preserve">Лот №41034033-</w:t>
      </w:r>
      <w:r>
        <w:rPr>
          <w:b w:val="0"/>
          <w:bCs w:val="0"/>
          <w:i w:val="0"/>
          <w:iCs w:val="0"/>
          <w:strike w:val="0"/>
          <w:sz w:val="28"/>
          <w:szCs w:val="28"/>
          <w:u w:val="none"/>
          <w:shd w:val="clear" w:color="auto" w:fill="ffffff"/>
        </w:rPr>
        <w:t xml:space="preserve">ЭКСП ПРОД-2026-ДГК-АТС</w:t>
      </w:r>
      <w:r>
        <w:rPr>
          <w:b w:val="0"/>
          <w:bCs w:val="0"/>
          <w:i w:val="0"/>
          <w:iCs w:val="0"/>
          <w:sz w:val="28"/>
          <w:szCs w:val="28"/>
          <w:shd w:val="clear" w:color="auto" w:fill="ffffff"/>
        </w:rPr>
      </w:r>
    </w:p>
    <w:p>
      <w:pPr>
        <w:pStyle w:val="667"/>
        <w:jc w:val="center"/>
        <w:rPr>
          <w:b w:val="0"/>
          <w:bCs w:val="0"/>
          <w:i w:val="0"/>
          <w:iCs w:val="0"/>
          <w:sz w:val="28"/>
          <w:szCs w:val="28"/>
          <w:shd w:val="clear" w:color="auto" w:fill="ffffff"/>
        </w:rPr>
      </w:pPr>
      <w:r>
        <w:rPr>
          <w:b w:val="0"/>
          <w:bCs w:val="0"/>
          <w:i w:val="0"/>
          <w:iCs w:val="0"/>
          <w:sz w:val="28"/>
          <w:szCs w:val="28"/>
          <w:shd w:val="clear" w:color="auto" w:fill="ffffff"/>
        </w:rPr>
      </w:r>
      <w:r>
        <w:rPr>
          <w:b w:val="0"/>
          <w:bCs w:val="0"/>
          <w:i w:val="0"/>
          <w:iCs w:val="0"/>
          <w:sz w:val="28"/>
          <w:szCs w:val="28"/>
          <w:shd w:val="clear" w:color="auto" w:fill="ffffff"/>
        </w:rPr>
      </w:r>
    </w:p>
    <w:p>
      <w:pPr>
        <w:pStyle w:val="667"/>
        <w:keepLines/>
        <w:keepNext/>
        <w:rPr>
          <w:sz w:val="26"/>
          <w:szCs w:val="26"/>
          <w:highlight w:val="red"/>
        </w:rPr>
      </w:pPr>
      <w:r>
        <w:rPr>
          <w:sz w:val="26"/>
          <w:szCs w:val="26"/>
          <w:highlight w:val="red"/>
        </w:rPr>
      </w:r>
      <w:r>
        <w:rPr>
          <w:sz w:val="26"/>
          <w:szCs w:val="26"/>
          <w:highlight w:val="red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67"/>
        <w:jc w:val="center"/>
        <w:rPr>
          <w:b/>
          <w:bCs/>
        </w:rPr>
      </w:pPr>
      <w:r>
        <w:rPr>
          <w:b/>
        </w:rPr>
        <w:t xml:space="preserve">СОДЕРЖАНИЕ</w:t>
      </w:r>
      <w:r>
        <w:rPr>
          <w:b/>
          <w:bCs/>
        </w:rPr>
      </w:r>
    </w:p>
    <w:p>
      <w:pPr>
        <w:pStyle w:val="667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771"/>
            <w:shd w:val="clear" w:color="auto" w:fill="ffffff"/>
            <w:tabs>
              <w:tab w:val="left" w:pos="567" w:leader="none"/>
              <w:tab w:val="clear" w:pos="708" w:leader="none"/>
              <w:tab w:val="right" w:pos="9921" w:leader="dot"/>
            </w:tabs>
            <w:rPr>
              <w:caps/>
              <w:highlight w:val="white"/>
            </w:rPr>
          </w:pPr>
          <w:r>
            <w:fldChar w:fldCharType="begin"/>
          </w:r>
          <w:r>
            <w:rPr>
              <w:rStyle w:val="744"/>
              <w:rFonts w:eastAsia="Calibri" w:cs="Times New Roman"/>
              <w:highlight w:val="white"/>
            </w:rPr>
            <w:instrText xml:space="preserve"> TOC \o "1-9" \h</w:instrText>
          </w:r>
          <w:r>
            <w:rPr>
              <w:rStyle w:val="744"/>
              <w:rFonts w:eastAsia="Calibri" w:cs="Times New Roman"/>
              <w:highlight w:val="white"/>
            </w:rPr>
            <w:fldChar w:fldCharType="separate"/>
          </w:r>
          <w:hyperlink w:tooltip="#_Toc1" w:anchor="_Toc1" w:history="1">
            <w:r>
              <w:rPr>
                <w:rStyle w:val="744"/>
                <w:rFonts w:eastAsia="Calibri" w:cs="Times New Roman"/>
                <w:highlight w:val="white"/>
              </w:rPr>
              <w:t xml:space="preserve">1.</w:t>
            </w:r>
            <w:r>
              <w:rPr>
                <w:rStyle w:val="744"/>
                <w:highlight w:val="white"/>
              </w:rPr>
              <w:tab/>
              <w:t xml:space="preserve">Общие сведения</w:t>
              <w:tab/>
            </w:r>
            <w:r>
              <w:fldChar w:fldCharType="begin"/>
            </w:r>
            <w:r>
              <w:instrText xml:space="preserve">PAGEREF _Toc1 \h</w:instrText>
            </w:r>
            <w:r>
              <w:fldChar w:fldCharType="separate"/>
            </w:r>
            <w:r>
              <w:rPr>
                <w:rStyle w:val="744"/>
                <w:caps/>
                <w:highlight w:val="white"/>
              </w:rPr>
              <w:t xml:space="preserve">3</w:t>
            </w:r>
            <w:r>
              <w:fldChar w:fldCharType="end"/>
            </w:r>
          </w:hyperlink>
          <w:r/>
          <w:r>
            <w:rPr>
              <w:caps/>
              <w:highlight w:val="white"/>
            </w:rPr>
          </w:r>
        </w:p>
        <w:p>
          <w:pPr>
            <w:pStyle w:val="782"/>
            <w:shd w:val="clear" w:color="ffffff" w:themeColor="background1" w:fill="ffffff" w:themeFill="background1"/>
            <w:tabs>
              <w:tab w:val="clear" w:pos="708" w:leader="none"/>
              <w:tab w:val="left" w:pos="1417" w:leader="none"/>
              <w:tab w:val="right" w:pos="9921" w:leader="dot"/>
            </w:tabs>
            <w:rPr>
              <w:highlight w:val="white"/>
            </w:rPr>
          </w:pPr>
          <w:r/>
          <w:hyperlink w:tooltip="#_Toc3" w:anchor="_Toc3" w:history="1">
            <w:r>
              <w:rPr>
                <w:rStyle w:val="744"/>
                <w:rFonts w:eastAsia="Calibri" w:cs="Times New Roman"/>
                <w:highlight w:val="white"/>
              </w:rPr>
              <w:t xml:space="preserve">1.1.</w:t>
            </w:r>
            <w:r>
              <w:fldChar w:fldCharType="begin"/>
            </w:r>
            <w:r>
              <w:instrText xml:space="preserve">PAGEREF _Toc3 \h</w:instrText>
            </w:r>
            <w:r>
              <w:fldChar w:fldCharType="separate"/>
            </w:r>
            <w:r>
              <w:rPr>
                <w:rStyle w:val="744"/>
                <w:highlight w:val="white"/>
              </w:rPr>
              <w:tab/>
              <w:t xml:space="preserve"> Наименование закупаемой продукции</w:t>
              <w:tab/>
              <w:t xml:space="preserve">3</w:t>
            </w:r>
            <w:r>
              <w:fldChar w:fldCharType="end"/>
            </w:r>
          </w:hyperlink>
          <w:r/>
          <w:r>
            <w:rPr>
              <w:highlight w:val="white"/>
            </w:rPr>
          </w:r>
        </w:p>
        <w:p>
          <w:pPr>
            <w:pStyle w:val="782"/>
            <w:shd w:val="clear" w:color="ffffff" w:themeColor="background1" w:fill="ffffff" w:themeFill="background1"/>
            <w:tabs>
              <w:tab w:val="clear" w:pos="708" w:leader="none"/>
              <w:tab w:val="left" w:pos="1417" w:leader="none"/>
              <w:tab w:val="right" w:pos="9921" w:leader="dot"/>
            </w:tabs>
            <w:rPr>
              <w:highlight w:val="white"/>
            </w:rPr>
          </w:pPr>
          <w:r/>
          <w:hyperlink w:tooltip="#_Toc5" w:anchor="_Toc5" w:history="1">
            <w:r>
              <w:rPr>
                <w:rStyle w:val="744"/>
                <w:rFonts w:eastAsia="Calibri" w:cs="Times New Roman"/>
                <w:highlight w:val="white"/>
              </w:rPr>
              <w:t xml:space="preserve">1.2.</w:t>
            </w:r>
            <w:r>
              <w:fldChar w:fldCharType="begin"/>
            </w:r>
            <w:r>
              <w:instrText xml:space="preserve">PAGEREF _Toc5 \h</w:instrText>
            </w:r>
            <w:r>
              <w:fldChar w:fldCharType="separate"/>
            </w:r>
            <w:r>
              <w:rPr>
                <w:rStyle w:val="744"/>
                <w:highlight w:val="white"/>
              </w:rPr>
              <w:tab/>
              <w:t xml:space="preserve"> Цель выполнения работ</w:t>
              <w:tab/>
              <w:t xml:space="preserve">3</w:t>
            </w:r>
            <w:r>
              <w:fldChar w:fldCharType="end"/>
            </w:r>
          </w:hyperlink>
          <w:r/>
          <w:r>
            <w:rPr>
              <w:highlight w:val="white"/>
            </w:rPr>
          </w:r>
        </w:p>
        <w:p>
          <w:pPr>
            <w:pStyle w:val="771"/>
            <w:shd w:val="clear" w:color="ffffff" w:themeColor="background1" w:fill="ffffff" w:themeFill="background1"/>
            <w:tabs>
              <w:tab w:val="clear" w:pos="708" w:leader="none"/>
              <w:tab w:val="right" w:pos="9921" w:leader="dot"/>
            </w:tabs>
            <w:rPr>
              <w:rFonts w:eastAsia="Times New Roman"/>
              <w:highlight w:val="white"/>
            </w:rPr>
          </w:pPr>
          <w:r/>
          <w:hyperlink w:tooltip="#_Toc6" w:anchor="_Toc6" w:history="1">
            <w:r>
              <w:fldChar w:fldCharType="begin"/>
            </w:r>
            <w:r>
              <w:instrText xml:space="preserve">PAGEREF _Toc6 \h</w:instrText>
            </w:r>
            <w:r>
              <w:fldChar w:fldCharType="separate"/>
            </w:r>
            <w:r>
              <w:rPr>
                <w:rStyle w:val="744"/>
                <w:highlight w:val="white"/>
              </w:rPr>
              <w:t xml:space="preserve">Таблица 1. Перечень объектов заказчика</w:t>
              <w:tab/>
              <w:t xml:space="preserve">3</w:t>
            </w:r>
            <w:r>
              <w:fldChar w:fldCharType="end"/>
            </w:r>
          </w:hyperlink>
          <w:r/>
          <w:r>
            <w:rPr>
              <w:rFonts w:eastAsia="Times New Roman"/>
              <w:highlight w:val="white"/>
            </w:rPr>
          </w:r>
        </w:p>
        <w:p>
          <w:pPr>
            <w:pStyle w:val="782"/>
            <w:shd w:val="clear" w:color="ffffff" w:themeColor="background1" w:fill="ffffff" w:themeFill="background1"/>
            <w:tabs>
              <w:tab w:val="clear" w:pos="708" w:leader="none"/>
              <w:tab w:val="left" w:pos="1417" w:leader="none"/>
              <w:tab w:val="right" w:pos="9921" w:leader="dot"/>
            </w:tabs>
            <w:rPr>
              <w:highlight w:val="white"/>
            </w:rPr>
          </w:pPr>
          <w:r/>
          <w:hyperlink w:tooltip="#_Toc7" w:anchor="_Toc7" w:history="1">
            <w:r>
              <w:rPr>
                <w:rStyle w:val="744"/>
                <w:rFonts w:eastAsia="Calibri" w:cs="Times New Roman"/>
                <w:highlight w:val="white"/>
              </w:rPr>
              <w:t xml:space="preserve">1.4.</w:t>
            </w:r>
            <w:r>
              <w:fldChar w:fldCharType="begin"/>
            </w:r>
            <w:r>
              <w:instrText xml:space="preserve">PAGEREF _Toc7 \h</w:instrText>
            </w:r>
            <w:r>
              <w:fldChar w:fldCharType="separate"/>
            </w:r>
            <w:r>
              <w:rPr>
                <w:rStyle w:val="744"/>
                <w:highlight w:val="white"/>
              </w:rPr>
              <w:tab/>
              <w:t xml:space="preserve">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      <w:tab/>
              <w:t xml:space="preserve">3</w:t>
            </w:r>
            <w:r>
              <w:fldChar w:fldCharType="end"/>
            </w:r>
          </w:hyperlink>
          <w:r/>
          <w:r>
            <w:rPr>
              <w:highlight w:val="white"/>
            </w:rPr>
          </w:r>
        </w:p>
        <w:p>
          <w:pPr>
            <w:pStyle w:val="782"/>
            <w:shd w:val="clear" w:color="ffffff" w:themeColor="background1" w:fill="ffffff" w:themeFill="background1"/>
            <w:tabs>
              <w:tab w:val="clear" w:pos="708" w:leader="none"/>
              <w:tab w:val="right" w:pos="9921" w:leader="dot"/>
            </w:tabs>
            <w:rPr>
              <w:i/>
              <w:highlight w:val="white"/>
            </w:rPr>
          </w:pPr>
          <w:r/>
          <w:hyperlink w:tooltip="#_Toc8" w:anchor="_Toc8" w:history="1">
            <w:r>
              <w:rPr>
                <w:rStyle w:val="744"/>
                <w:highlight w:val="white"/>
              </w:rPr>
              <w:t xml:space="preserve">Заказчик предоставляет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</w:t>
            </w:r>
            <w:r>
              <w:rPr>
                <w:rStyle w:val="744"/>
                <w:i/>
                <w:highlight w:val="white"/>
              </w:rPr>
              <w:t xml:space="preserve">. </w:t>
            </w:r>
            <w:r>
              <w:rPr>
                <w:rStyle w:val="744"/>
                <w:highlight w:val="white"/>
              </w:rPr>
              <w:tab/>
            </w:r>
            <w:r>
              <w:fldChar w:fldCharType="begin"/>
            </w:r>
            <w:r>
              <w:instrText xml:space="preserve">PAGEREF _Toc8 \h</w:instrText>
            </w:r>
            <w:r>
              <w:fldChar w:fldCharType="separate"/>
            </w:r>
            <w:r>
              <w:rPr>
                <w:rStyle w:val="744"/>
                <w:i/>
                <w:highlight w:val="white"/>
              </w:rPr>
              <w:t xml:space="preserve">3</w:t>
            </w:r>
            <w:r>
              <w:fldChar w:fldCharType="end"/>
            </w:r>
          </w:hyperlink>
          <w:r/>
          <w:r>
            <w:rPr>
              <w:i/>
              <w:highlight w:val="white"/>
            </w:rPr>
          </w:r>
        </w:p>
        <w:p>
          <w:pPr>
            <w:pStyle w:val="771"/>
            <w:shd w:val="clear" w:color="ffffff" w:themeColor="background1" w:fill="ffffff" w:themeFill="background1"/>
            <w:tabs>
              <w:tab w:val="left" w:pos="567" w:leader="none"/>
              <w:tab w:val="clear" w:pos="708" w:leader="none"/>
              <w:tab w:val="right" w:pos="9921" w:leader="dot"/>
            </w:tabs>
            <w:rPr>
              <w:iCs/>
              <w:caps/>
              <w:highlight w:val="white"/>
            </w:rPr>
          </w:pPr>
          <w:r/>
          <w:hyperlink w:tooltip="#_Toc9" w:anchor="_Toc9" w:history="1">
            <w:r>
              <w:rPr>
                <w:rStyle w:val="744"/>
                <w:rFonts w:eastAsia="Calibri" w:cs="Times New Roman"/>
                <w:highlight w:val="white"/>
              </w:rPr>
              <w:t xml:space="preserve">2.</w:t>
            </w:r>
            <w:r>
              <w:rPr>
                <w:rStyle w:val="744"/>
                <w:highlight w:val="white"/>
              </w:rPr>
              <w:tab/>
            </w:r>
            <w:r>
              <w:rPr>
                <w:rStyle w:val="744"/>
                <w:iCs/>
                <w:highlight w:val="white"/>
              </w:rPr>
              <w:t xml:space="preserve">Требования к продукции</w:t>
            </w:r>
            <w:r>
              <w:rPr>
                <w:rStyle w:val="744"/>
                <w:highlight w:val="white"/>
              </w:rPr>
              <w:tab/>
            </w:r>
            <w:r>
              <w:fldChar w:fldCharType="begin"/>
            </w:r>
            <w:r>
              <w:instrText xml:space="preserve">PAGEREF _Toc9 \h</w:instrText>
            </w:r>
            <w:r>
              <w:fldChar w:fldCharType="separate"/>
            </w:r>
            <w:r>
              <w:rPr>
                <w:rStyle w:val="744"/>
                <w:iCs/>
                <w:caps/>
                <w:highlight w:val="white"/>
              </w:rPr>
              <w:t xml:space="preserve">3</w:t>
            </w:r>
            <w:r>
              <w:fldChar w:fldCharType="end"/>
            </w:r>
          </w:hyperlink>
          <w:r/>
          <w:r>
            <w:rPr>
              <w:iCs/>
              <w:caps/>
              <w:highlight w:val="white"/>
            </w:rPr>
          </w:r>
        </w:p>
        <w:p>
          <w:pPr>
            <w:pStyle w:val="782"/>
            <w:shd w:val="clear" w:color="ffffff" w:themeColor="background1" w:fill="ffffff" w:themeFill="background1"/>
            <w:tabs>
              <w:tab w:val="clear" w:pos="708" w:leader="none"/>
              <w:tab w:val="left" w:pos="1417" w:leader="none"/>
              <w:tab w:val="right" w:pos="9921" w:leader="dot"/>
            </w:tabs>
            <w:rPr>
              <w:highlight w:val="white"/>
            </w:rPr>
          </w:pPr>
          <w:r/>
          <w:hyperlink w:tooltip="#_Toc10" w:anchor="_Toc10" w:history="1">
            <w:r>
              <w:rPr>
                <w:rStyle w:val="744"/>
                <w:rFonts w:eastAsia="Calibri" w:cs="Times New Roman"/>
                <w:highlight w:val="white"/>
              </w:rPr>
              <w:t xml:space="preserve">2.1.</w:t>
            </w:r>
            <w:r>
              <w:fldChar w:fldCharType="begin"/>
            </w:r>
            <w:r>
              <w:instrText xml:space="preserve">PAGEREF _Toc10 \h</w:instrText>
            </w:r>
            <w:r>
              <w:fldChar w:fldCharType="separate"/>
            </w:r>
            <w:r>
              <w:rPr>
                <w:rStyle w:val="744"/>
                <w:highlight w:val="white"/>
              </w:rPr>
              <w:tab/>
              <w:t xml:space="preserve"> Требования к объемам и срокам выполнения работ</w:t>
              <w:tab/>
              <w:t xml:space="preserve">3</w:t>
            </w:r>
            <w:r>
              <w:fldChar w:fldCharType="end"/>
            </w:r>
          </w:hyperlink>
          <w:r/>
          <w:r>
            <w:rPr>
              <w:highlight w:val="white"/>
            </w:rPr>
          </w:r>
        </w:p>
        <w:p>
          <w:pPr>
            <w:pStyle w:val="772"/>
            <w:shd w:val="clear" w:color="ffffff" w:themeColor="background1" w:fill="ffffff" w:themeFill="background1"/>
            <w:tabs>
              <w:tab w:val="clear" w:pos="708" w:leader="none"/>
              <w:tab w:val="left" w:pos="1134" w:leader="none"/>
              <w:tab w:val="right" w:pos="9921" w:leader="dot"/>
            </w:tabs>
            <w:rPr>
              <w:highlight w:val="white"/>
            </w:rPr>
          </w:pPr>
          <w:r/>
          <w:hyperlink w:tooltip="#_Toc11" w:anchor="_Toc11" w:history="1">
            <w:r>
              <w:rPr>
                <w:rStyle w:val="744"/>
                <w:rFonts w:eastAsia="Calibri" w:cs="Times New Roman"/>
                <w:highlight w:val="white"/>
              </w:rPr>
              <w:t xml:space="preserve">2.1.1.</w:t>
            </w:r>
            <w:r>
              <w:fldChar w:fldCharType="begin"/>
            </w:r>
            <w:r>
              <w:instrText xml:space="preserve">PAGEREF _Toc11 \h</w:instrText>
            </w:r>
            <w:r>
              <w:fldChar w:fldCharType="separate"/>
            </w:r>
            <w:r>
              <w:rPr>
                <w:rStyle w:val="744"/>
                <w:highlight w:val="white"/>
              </w:rPr>
              <w:tab/>
              <w:t xml:space="preserve"> Требования к видам и объемам работ</w:t>
              <w:tab/>
              <w:t xml:space="preserve">3</w:t>
            </w:r>
            <w:r>
              <w:fldChar w:fldCharType="end"/>
            </w:r>
          </w:hyperlink>
          <w:r/>
          <w:r>
            <w:rPr>
              <w:highlight w:val="white"/>
            </w:rPr>
          </w:r>
        </w:p>
        <w:p>
          <w:pPr>
            <w:pStyle w:val="771"/>
            <w:shd w:val="clear" w:color="ffffff" w:themeColor="background1" w:fill="ffffff" w:themeFill="background1"/>
            <w:tabs>
              <w:tab w:val="clear" w:pos="708" w:leader="none"/>
              <w:tab w:val="right" w:pos="9921" w:leader="dot"/>
            </w:tabs>
            <w:rPr>
              <w:highlight w:val="white"/>
            </w:rPr>
          </w:pPr>
          <w:r/>
          <w:hyperlink w:tooltip="#_Toc12" w:anchor="_Toc12" w:history="1">
            <w:r>
              <w:fldChar w:fldCharType="begin"/>
            </w:r>
            <w:r>
              <w:instrText xml:space="preserve">PAGEREF _Toc12 \h</w:instrText>
            </w:r>
            <w:r>
              <w:fldChar w:fldCharType="separate"/>
            </w:r>
            <w:r>
              <w:rPr>
                <w:rStyle w:val="744"/>
                <w:highlight w:val="white"/>
              </w:rPr>
              <w:t xml:space="preserve">Таблица 2. Перечень и объем выполняемых работ</w:t>
              <w:tab/>
              <w:t xml:space="preserve">3</w:t>
            </w:r>
            <w:r>
              <w:fldChar w:fldCharType="end"/>
            </w:r>
          </w:hyperlink>
          <w:r/>
          <w:r>
            <w:rPr>
              <w:highlight w:val="white"/>
            </w:rPr>
          </w:r>
        </w:p>
        <w:p>
          <w:pPr>
            <w:pStyle w:val="772"/>
            <w:shd w:val="clear" w:color="ffffff" w:themeColor="background1" w:fill="ffffff" w:themeFill="background1"/>
            <w:tabs>
              <w:tab w:val="clear" w:pos="708" w:leader="none"/>
              <w:tab w:val="left" w:pos="1134" w:leader="none"/>
              <w:tab w:val="right" w:pos="9921" w:leader="dot"/>
            </w:tabs>
            <w:rPr>
              <w:highlight w:val="white"/>
            </w:rPr>
          </w:pPr>
          <w:r/>
          <w:hyperlink w:tooltip="#_Toc13" w:anchor="_Toc13" w:history="1">
            <w:r>
              <w:rPr>
                <w:rStyle w:val="744"/>
                <w:rFonts w:eastAsia="Calibri" w:cs="Times New Roman"/>
                <w:highlight w:val="white"/>
              </w:rPr>
              <w:t xml:space="preserve">2.1.2.</w:t>
            </w:r>
            <w:r>
              <w:fldChar w:fldCharType="begin"/>
            </w:r>
            <w:r>
              <w:instrText xml:space="preserve">PAGEREF _Toc13 \h</w:instrText>
            </w:r>
            <w:r>
              <w:fldChar w:fldCharType="separate"/>
            </w:r>
            <w:r>
              <w:rPr>
                <w:rStyle w:val="744"/>
                <w:highlight w:val="white"/>
              </w:rPr>
              <w:tab/>
              <w:t xml:space="preserve">Требования к срокам выполнения работ</w:t>
              <w:tab/>
              <w:t xml:space="preserve">3</w:t>
            </w:r>
            <w:r>
              <w:fldChar w:fldCharType="end"/>
            </w:r>
          </w:hyperlink>
          <w:r/>
          <w:r>
            <w:rPr>
              <w:highlight w:val="white"/>
            </w:rPr>
          </w:r>
        </w:p>
        <w:p>
          <w:pPr>
            <w:pStyle w:val="771"/>
            <w:shd w:val="clear" w:color="ffffff" w:themeColor="background1" w:fill="ffffff" w:themeFill="background1"/>
            <w:tabs>
              <w:tab w:val="clear" w:pos="708" w:leader="none"/>
              <w:tab w:val="right" w:pos="9921" w:leader="dot"/>
            </w:tabs>
            <w:rPr>
              <w:highlight w:val="white"/>
            </w:rPr>
          </w:pPr>
          <w:r/>
          <w:hyperlink w:tooltip="#_Toc14" w:anchor="_Toc14" w:history="1">
            <w:r>
              <w:rPr>
                <w:rStyle w:val="744"/>
                <w:highlight w:val="white"/>
              </w:rPr>
              <w:t xml:space="preserve">  </w:t>
            </w:r>
            <w:r>
              <w:fldChar w:fldCharType="begin"/>
            </w:r>
            <w:r>
              <w:instrText xml:space="preserve">PAGEREF _Toc14 \h</w:instrText>
            </w:r>
            <w:r>
              <w:fldChar w:fldCharType="separate"/>
            </w:r>
            <w:r>
              <w:rPr>
                <w:rStyle w:val="744"/>
                <w:highlight w:val="white"/>
              </w:rPr>
              <w:t xml:space="preserve">Таблица 3. Требования по срокам выполнения работ</w:t>
              <w:tab/>
              <w:t xml:space="preserve">4</w:t>
            </w:r>
            <w:r>
              <w:fldChar w:fldCharType="end"/>
            </w:r>
          </w:hyperlink>
          <w:r/>
          <w:r>
            <w:rPr>
              <w:highlight w:val="white"/>
            </w:rPr>
          </w:r>
        </w:p>
        <w:p>
          <w:pPr>
            <w:pStyle w:val="782"/>
            <w:shd w:val="clear" w:color="ffffff" w:themeColor="background1" w:fill="ffffff" w:themeFill="background1"/>
            <w:tabs>
              <w:tab w:val="clear" w:pos="708" w:leader="none"/>
              <w:tab w:val="left" w:pos="1417" w:leader="none"/>
              <w:tab w:val="right" w:pos="9921" w:leader="dot"/>
            </w:tabs>
            <w:rPr>
              <w:highlight w:val="white"/>
            </w:rPr>
          </w:pPr>
          <w:r/>
          <w:hyperlink w:tooltip="#_Toc15" w:anchor="_Toc15" w:history="1">
            <w:r>
              <w:rPr>
                <w:rStyle w:val="744"/>
                <w:rFonts w:eastAsia="Calibri" w:cs="Times New Roman"/>
                <w:highlight w:val="white"/>
              </w:rPr>
              <w:t xml:space="preserve">2.2.</w:t>
            </w:r>
            <w:r>
              <w:rPr>
                <w:rStyle w:val="744"/>
                <w:highlight w:val="white"/>
              </w:rPr>
              <w:tab/>
              <w:t xml:space="preserve"> Требования к качеству работ</w:t>
              <w:tab/>
            </w:r>
          </w:hyperlink>
          <w:r>
            <w:rPr>
              <w:highlight w:val="white"/>
            </w:rPr>
            <w:t xml:space="preserve">5</w:t>
          </w:r>
          <w:r>
            <w:rPr>
              <w:highlight w:val="white"/>
            </w:rPr>
          </w:r>
        </w:p>
        <w:p>
          <w:pPr>
            <w:pStyle w:val="771"/>
            <w:shd w:val="clear" w:color="ffffff" w:themeColor="background1" w:fill="ffffff" w:themeFill="background1"/>
            <w:tabs>
              <w:tab w:val="clear" w:pos="708" w:leader="none"/>
              <w:tab w:val="right" w:pos="9921" w:leader="dot"/>
            </w:tabs>
            <w:rPr>
              <w:highlight w:val="white"/>
            </w:rPr>
          </w:pPr>
          <w:r/>
          <w:hyperlink w:tooltip="#_Toc16" w:anchor="_Toc16" w:history="1">
            <w:r>
              <w:fldChar w:fldCharType="begin"/>
            </w:r>
            <w:r>
              <w:instrText xml:space="preserve">PAGEREF _Toc16 \h</w:instrText>
            </w:r>
            <w:r>
              <w:fldChar w:fldCharType="separate"/>
            </w:r>
            <w:r>
              <w:rPr>
                <w:rStyle w:val="744"/>
                <w:highlight w:val="white"/>
              </w:rPr>
              <w:t xml:space="preserve">Таблица 4. Требования к качеству работ </w:t>
              <w:tab/>
              <w:t xml:space="preserve">5</w:t>
            </w:r>
            <w:r>
              <w:fldChar w:fldCharType="end"/>
            </w:r>
          </w:hyperlink>
          <w:r/>
          <w:r>
            <w:rPr>
              <w:highlight w:val="white"/>
            </w:rPr>
          </w:r>
        </w:p>
        <w:p>
          <w:pPr>
            <w:pStyle w:val="771"/>
            <w:shd w:val="clear" w:color="ffffff" w:themeColor="background1" w:fill="ffffff" w:themeFill="background1"/>
            <w:tabs>
              <w:tab w:val="clear" w:pos="708" w:leader="none"/>
              <w:tab w:val="right" w:pos="9921" w:leader="dot"/>
            </w:tabs>
            <w:rPr>
              <w:rFonts w:ascii="Times New Roman" w:hAnsi="Times New Roman" w:eastAsia="Times New Roman" w:cs="Times New Roman"/>
              <w:i/>
              <w:iCs/>
              <w:highlight w:val="white"/>
            </w:rPr>
          </w:pPr>
          <w:r/>
          <w:hyperlink w:tooltip="#_Toc17" w:anchor="_Toc17" w:history="1">
            <w:r>
              <w:rPr>
                <w:rStyle w:val="744"/>
                <w:rFonts w:eastAsia="Times New Roman" w:cs="Times New Roman"/>
                <w:i/>
                <w:iCs/>
                <w:highlight w:val="white"/>
                <w:lang w:eastAsia="en-US"/>
              </w:rPr>
              <w:t xml:space="preserve">При выполнении работ подрядчик должен руководствоваться следующими нормативно-техническими документами :</w:t>
            </w:r>
            <w:r>
              <w:rPr>
                <w:rStyle w:val="744"/>
                <w:highlight w:val="white"/>
              </w:rPr>
              <w:tab/>
            </w:r>
            <w:r>
              <w:fldChar w:fldCharType="begin"/>
            </w:r>
            <w:r>
              <w:instrText xml:space="preserve">PAGEREF _Toc17 \h</w:instrText>
            </w:r>
            <w:r>
              <w:fldChar w:fldCharType="separate"/>
            </w:r>
            <w:r>
              <w:rPr>
                <w:rStyle w:val="744"/>
                <w:rFonts w:eastAsia="Times New Roman" w:cs="Times New Roman"/>
                <w:i/>
                <w:iCs/>
                <w:highlight w:val="white"/>
              </w:rPr>
              <w:t xml:space="preserve">5</w:t>
            </w:r>
            <w:r>
              <w:fldChar w:fldCharType="end"/>
            </w:r>
          </w:hyperlink>
          <w:r>
            <w:rPr>
              <w:rStyle w:val="744"/>
              <w:rFonts w:eastAsia="Times New Roman" w:cs="Times New Roman"/>
              <w:i/>
              <w:iCs/>
              <w:highlight w:val="white"/>
            </w:rPr>
            <w:fldChar w:fldCharType="end"/>
          </w:r>
          <w:r>
            <w:rPr>
              <w:rFonts w:ascii="Times New Roman" w:hAnsi="Times New Roman" w:eastAsia="Times New Roman" w:cs="Times New Roman"/>
              <w:i/>
              <w:iCs/>
              <w:highlight w:val="white"/>
            </w:rPr>
          </w:r>
        </w:p>
      </w:sdtContent>
    </w:sdt>
    <w:p>
      <w:pPr>
        <w:pStyle w:val="667"/>
        <w:shd w:val="clear" w:color="auto" w:fill="ffffff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669"/>
        <w:ind w:left="0" w:firstLine="0"/>
        <w:shd w:val="clear" w:color="ffffff" w:themeColor="background1" w:fill="ffffff" w:themeFill="background1"/>
        <w:tabs>
          <w:tab w:val="clear" w:pos="1440" w:leader="none"/>
        </w:tabs>
        <w:rPr>
          <w:b w:val="0"/>
          <w:i/>
          <w:highlight w:val="white"/>
        </w:rPr>
      </w:pPr>
      <w:r>
        <w:rPr>
          <w:b w:val="0"/>
          <w:i/>
          <w:highlight w:val="white"/>
        </w:rPr>
      </w:r>
      <w:r>
        <w:rPr>
          <w:b w:val="0"/>
          <w:i/>
          <w:highlight w:val="white"/>
        </w:rPr>
      </w:r>
    </w:p>
    <w:p>
      <w:pPr>
        <w:pStyle w:val="667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 w:clear="all"/>
      </w:r>
      <w:r>
        <w:rPr>
          <w:rFonts w:eastAsia="Calibri"/>
          <w:b/>
          <w:i/>
          <w:sz w:val="24"/>
          <w:szCs w:val="24"/>
        </w:rPr>
      </w:r>
    </w:p>
    <w:p>
      <w:pPr>
        <w:pStyle w:val="668"/>
        <w:numPr>
          <w:ilvl w:val="0"/>
          <w:numId w:val="3"/>
        </w:numPr>
        <w:jc w:val="center"/>
        <w:keepLines/>
        <w:rPr>
          <w:caps/>
        </w:rPr>
      </w:pPr>
      <w:r/>
      <w:bookmarkStart w:id="0" w:name="_Toc1"/>
      <w:r>
        <w:t xml:space="preserve">Общие сведения</w:t>
      </w:r>
      <w:bookmarkEnd w:id="0"/>
      <w:r/>
      <w:r>
        <w:rPr>
          <w:caps/>
        </w:rPr>
      </w:r>
    </w:p>
    <w:p>
      <w:pPr>
        <w:pStyle w:val="671"/>
        <w:numPr>
          <w:ilvl w:val="1"/>
          <w:numId w:val="3"/>
        </w:numPr>
        <w:ind w:left="1440" w:firstLine="0"/>
        <w:spacing w:before="0" w:beforeAutospacing="0" w:after="0" w:afterAutospacing="0" w:line="276" w:lineRule="auto"/>
      </w:pPr>
      <w:r/>
      <w:bookmarkStart w:id="1" w:name="_Toc3"/>
      <w:r>
        <w:t xml:space="preserve"> </w:t>
      </w:r>
      <w:r>
        <w:t xml:space="preserve">Наименование закупаемой продукции</w:t>
      </w:r>
      <w:bookmarkEnd w:id="1"/>
      <w:r/>
      <w:r/>
    </w:p>
    <w:p>
      <w:pPr>
        <w:pStyle w:val="671"/>
        <w:ind w:left="0" w:firstLine="720"/>
        <w:spacing w:before="0" w:beforeAutospacing="0" w:after="0" w:afterAutospacing="0" w:line="276" w:lineRule="auto"/>
        <w:tabs>
          <w:tab w:val="clear" w:pos="1440" w:leader="none"/>
        </w:tabs>
        <w:rPr>
          <w:highlight w:val="none"/>
          <w:shd w:val="clear" w:color="auto" w:fill="auto"/>
        </w:rPr>
      </w:pPr>
      <w:r>
        <w:rPr>
          <w:b w:val="0"/>
          <w:bCs w:val="0"/>
          <w:shd w:val="clear" w:color="auto" w:fill="auto"/>
        </w:rPr>
        <w:t xml:space="preserve">ОКПД2 71.12. Оказание услуг по проведению комплексного технического обследования здания Административного корпуса СУ ТЭЦ г. Благовещенск для Амурских тепловых сетей</w:t>
      </w:r>
      <w:r>
        <w:rPr>
          <w:highlight w:val="none"/>
          <w:shd w:val="clear" w:color="auto" w:fill="auto"/>
        </w:rPr>
      </w:r>
    </w:p>
    <w:p>
      <w:pPr>
        <w:pStyle w:val="667"/>
        <w:ind w:firstLine="720"/>
        <w:spacing w:line="276" w:lineRule="auto"/>
        <w:rPr>
          <w:highlight w:val="none"/>
          <w:shd w:val="clear" w:color="auto" w:fill="auto"/>
        </w:rPr>
      </w:pPr>
      <w:r>
        <w:rPr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71"/>
        <w:numPr>
          <w:ilvl w:val="1"/>
          <w:numId w:val="3"/>
        </w:numPr>
        <w:ind w:left="1440" w:firstLine="0"/>
        <w:spacing w:before="0" w:beforeAutospacing="0" w:after="0" w:afterAutospacing="0" w:line="276" w:lineRule="auto"/>
      </w:pPr>
      <w:r/>
      <w:bookmarkStart w:id="2" w:name="_Toc5"/>
      <w:r>
        <w:t xml:space="preserve"> </w:t>
      </w:r>
      <w:r>
        <w:t xml:space="preserve">Цель выполнения работ</w:t>
      </w:r>
      <w:bookmarkEnd w:id="2"/>
      <w:r/>
      <w:r/>
    </w:p>
    <w:p>
      <w:pPr>
        <w:pStyle w:val="667"/>
        <w:ind w:firstLine="720"/>
        <w:jc w:val="both"/>
        <w:spacing w:before="0" w:beforeAutospacing="0" w:after="0" w:afterAutospacing="0" w:line="276" w:lineRule="auto"/>
        <w:rPr>
          <w:color w:val="000000"/>
        </w:rPr>
      </w:pPr>
      <w:r>
        <w:rPr>
          <w:b w:val="0"/>
          <w:sz w:val="24"/>
          <w:szCs w:val="24"/>
        </w:rPr>
        <w:t xml:space="preserve">Целью работы является определение в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озможности</w:t>
      </w:r>
      <w:r>
        <w:rPr>
          <w:b w:val="0"/>
          <w:caps w:val="0"/>
          <w:smallCaps w:val="0"/>
          <w:color w:val="000000"/>
          <w:spacing w:val="0"/>
          <w:sz w:val="24"/>
          <w:szCs w:val="24"/>
        </w:rPr>
        <w:t xml:space="preserve"> 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изменения</w:t>
      </w:r>
      <w:r>
        <w:rPr>
          <w:b w:val="0"/>
          <w:caps w:val="0"/>
          <w:smallCaps w:val="0"/>
          <w:color w:val="000000"/>
          <w:spacing w:val="0"/>
          <w:sz w:val="24"/>
          <w:szCs w:val="24"/>
        </w:rPr>
        <w:t xml:space="preserve"> 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параметров</w:t>
      </w:r>
      <w:r>
        <w:rPr>
          <w:b w:val="0"/>
          <w:caps w:val="0"/>
          <w:smallCaps w:val="0"/>
          <w:color w:val="000000"/>
          <w:spacing w:val="0"/>
          <w:sz w:val="24"/>
          <w:szCs w:val="24"/>
        </w:rPr>
        <w:t xml:space="preserve"> 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объекта</w:t>
      </w:r>
      <w:r>
        <w:rPr>
          <w:b w:val="0"/>
          <w:caps w:val="0"/>
          <w:smallCaps w:val="0"/>
          <w:color w:val="000000"/>
          <w:spacing w:val="0"/>
          <w:sz w:val="24"/>
          <w:szCs w:val="24"/>
        </w:rPr>
        <w:t xml:space="preserve"> 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капитального</w:t>
      </w:r>
      <w:r>
        <w:rPr>
          <w:b w:val="0"/>
          <w:caps w:val="0"/>
          <w:smallCaps w:val="0"/>
          <w:color w:val="000000"/>
          <w:spacing w:val="0"/>
          <w:sz w:val="24"/>
          <w:szCs w:val="24"/>
        </w:rPr>
        <w:t xml:space="preserve"> 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строительства</w:t>
      </w:r>
      <w:r>
        <w:rPr>
          <w:b w:val="0"/>
          <w:caps w:val="0"/>
          <w:smallCaps w:val="0"/>
          <w:color w:val="000000"/>
          <w:spacing w:val="0"/>
          <w:sz w:val="24"/>
          <w:szCs w:val="24"/>
        </w:rPr>
        <w:t xml:space="preserve"> 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(по</w:t>
      </w:r>
      <w:r>
        <w:rPr>
          <w:b w:val="0"/>
          <w:caps w:val="0"/>
          <w:smallCaps w:val="0"/>
          <w:color w:val="000000"/>
          <w:spacing w:val="0"/>
          <w:sz w:val="24"/>
          <w:szCs w:val="24"/>
        </w:rPr>
        <w:t xml:space="preserve"> 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высоте</w:t>
      </w:r>
      <w:r>
        <w:rPr>
          <w:b w:val="0"/>
          <w:caps w:val="0"/>
          <w:smallCaps w:val="0"/>
          <w:color w:val="000000"/>
          <w:spacing w:val="0"/>
          <w:sz w:val="24"/>
          <w:szCs w:val="24"/>
        </w:rPr>
        <w:t xml:space="preserve"> 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и</w:t>
      </w:r>
      <w:r>
        <w:rPr>
          <w:b w:val="0"/>
          <w:caps w:val="0"/>
          <w:smallCaps w:val="0"/>
          <w:color w:val="000000"/>
          <w:spacing w:val="0"/>
          <w:sz w:val="24"/>
          <w:szCs w:val="24"/>
        </w:rPr>
        <w:t xml:space="preserve"> 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количеству</w:t>
      </w:r>
      <w:r>
        <w:rPr>
          <w:b w:val="0"/>
          <w:caps w:val="0"/>
          <w:smallCaps w:val="0"/>
          <w:color w:val="000000"/>
          <w:spacing w:val="0"/>
          <w:sz w:val="24"/>
          <w:szCs w:val="24"/>
        </w:rPr>
        <w:t xml:space="preserve"> 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этажей)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</w:rPr>
      </w:r>
    </w:p>
    <w:p>
      <w:pPr>
        <w:pStyle w:val="667"/>
        <w:jc w:val="both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8"/>
        <w:numPr>
          <w:ilvl w:val="0"/>
          <w:numId w:val="0"/>
        </w:numPr>
        <w:ind w:left="0" w:firstLine="0"/>
        <w:keepLines/>
        <w:spacing w:before="0" w:beforeAutospacing="0" w:after="0" w:afterAutospacing="0" w:line="276" w:lineRule="auto"/>
        <w:rPr>
          <w:rStyle w:val="704"/>
          <w:rFonts w:eastAsia="Times New Roman"/>
          <w:b w:val="0"/>
        </w:rPr>
      </w:pPr>
      <w:r/>
      <w:bookmarkStart w:id="3" w:name="_Toc6"/>
      <w:r>
        <w:rPr>
          <w:sz w:val="24"/>
          <w:szCs w:val="24"/>
        </w:rPr>
        <w:t xml:space="preserve">Таблица 1. Перечень объектов заказчика</w:t>
      </w:r>
      <w:bookmarkEnd w:id="3"/>
      <w:r/>
      <w:r>
        <w:rPr>
          <w:rStyle w:val="704"/>
          <w:rFonts w:eastAsia="Times New Roman"/>
          <w:b w:val="0"/>
        </w:rPr>
      </w:r>
    </w:p>
    <w:tbl>
      <w:tblPr>
        <w:tblW w:w="10063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709"/>
        <w:gridCol w:w="2405"/>
        <w:gridCol w:w="2407"/>
        <w:gridCol w:w="2841"/>
        <w:gridCol w:w="170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667"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</w:p>
          <w:p>
            <w:pPr>
              <w:pStyle w:val="667"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7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объекта (место производства работ)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1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основного средства (в отношении которого выполняются работы)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7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87"/>
              <w:numPr>
                <w:ilvl w:val="0"/>
                <w:numId w:val="4"/>
              </w:numPr>
              <w:contextualSpacing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40" w:lineRule="auto"/>
              <w:widowControl w:val="off"/>
              <w:rPr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</w:rPr>
              <w:t xml:space="preserve">Административный корпус СУ ТЭЦ 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г. Благовещенск</w:t>
            </w:r>
            <w:r>
              <w:rPr>
                <w:bCs/>
                <w:i w:val="0"/>
                <w:iCs w:val="0"/>
                <w:color w:val="000000"/>
                <w:sz w:val="22"/>
                <w:szCs w:val="22"/>
              </w:rPr>
            </w:r>
          </w:p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7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Cs/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 xml:space="preserve">СП «Амурские тепловые сети», Российская Федерация, 675000,</w:t>
            </w:r>
            <w:r>
              <w:rPr>
                <w:bCs/>
                <w:i w:val="0"/>
                <w:iCs w:val="0"/>
                <w:sz w:val="22"/>
                <w:szCs w:val="22"/>
              </w:rPr>
            </w:r>
          </w:p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i w:val="0"/>
                <w:iCs w:val="0"/>
                <w:color w:val="000000"/>
                <w:sz w:val="22"/>
                <w:szCs w:val="22"/>
              </w:rPr>
              <w:t xml:space="preserve">Амурская область,</w:t>
            </w:r>
            <w:r>
              <w:rPr>
                <w:bCs/>
                <w:i w:val="0"/>
                <w:iCs w:val="0"/>
                <w:color w:val="000000"/>
                <w:sz w:val="22"/>
                <w:szCs w:val="22"/>
              </w:rPr>
            </w:r>
          </w:p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i w:val="0"/>
                <w:iCs w:val="0"/>
                <w:color w:val="000000"/>
                <w:sz w:val="22"/>
                <w:szCs w:val="22"/>
              </w:rPr>
              <w:t xml:space="preserve">г. Благовещенск,</w:t>
            </w:r>
            <w:r>
              <w:rPr>
                <w:bCs/>
                <w:i w:val="0"/>
                <w:iCs w:val="0"/>
                <w:color w:val="000000"/>
                <w:sz w:val="22"/>
                <w:szCs w:val="22"/>
              </w:rPr>
            </w:r>
          </w:p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rFonts w:eastAsia="Calibri"/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color w:val="000000"/>
                <w:sz w:val="22"/>
                <w:szCs w:val="22"/>
              </w:rPr>
              <w:t xml:space="preserve">ул. Нагорная 19</w:t>
            </w:r>
            <w:r>
              <w:rPr>
                <w:rFonts w:eastAsia="Calibri"/>
                <w:i w:val="0"/>
                <w:i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</w:rPr>
              <w:t xml:space="preserve">Административный корпус СУ ТЭЦ 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г. Благовещенск</w:t>
            </w:r>
            <w:r>
              <w:rPr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668"/>
        <w:numPr>
          <w:ilvl w:val="0"/>
          <w:numId w:val="0"/>
        </w:numPr>
        <w:ind w:left="0" w:firstLine="0"/>
        <w:keepLines/>
        <w:spacing w:before="0" w:beforeAutospacing="0" w:after="0" w:afterAutospacing="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1"/>
        <w:numPr>
          <w:ilvl w:val="1"/>
          <w:numId w:val="3"/>
        </w:numPr>
        <w:ind w:left="1440" w:firstLine="0"/>
        <w:spacing w:before="0" w:beforeAutospacing="0" w:after="0" w:afterAutospacing="0" w:line="276" w:lineRule="auto"/>
      </w:pPr>
      <w:r/>
      <w:bookmarkStart w:id="4" w:name="_Toc7"/>
      <w:r/>
      <w:bookmarkStart w:id="5" w:name="_Hlk49857604"/>
      <w:r>
        <w:t xml:space="preserve"> </w:t>
      </w:r>
      <w:r>
        <w:t xml:space="preserve">Информация в отношении исполнения договора, </w:t>
      </w:r>
      <w:bookmarkStart w:id="6" w:name="_Hlk46492347"/>
      <w:r>
        <w:t xml:space="preserve">которая должна быть учтена при подготовке заявки </w:t>
      </w:r>
      <w:bookmarkEnd w:id="6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5"/>
      <w:r>
        <w:t xml:space="preserve"> </w:t>
      </w:r>
      <w:bookmarkEnd w:id="4"/>
      <w:r/>
      <w:r/>
    </w:p>
    <w:p>
      <w:pPr>
        <w:pStyle w:val="671"/>
        <w:ind w:left="0" w:firstLine="567"/>
        <w:jc w:val="both"/>
        <w:spacing w:before="0" w:beforeAutospacing="0" w:after="0" w:afterAutospacing="0" w:line="276" w:lineRule="auto"/>
        <w:tabs>
          <w:tab w:val="clear" w:pos="1440" w:leader="none"/>
        </w:tabs>
        <w:rPr>
          <w:i/>
        </w:rPr>
      </w:pPr>
      <w:r/>
      <w:bookmarkStart w:id="7" w:name="_Toc8"/>
      <w:r>
        <w:rPr>
          <w:b w:val="0"/>
        </w:rPr>
        <w:t xml:space="preserve">Заказчик предоставляет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</w:t>
      </w:r>
      <w:r>
        <w:rPr>
          <w:i/>
        </w:rPr>
        <w:t xml:space="preserve">. </w:t>
      </w:r>
      <w:bookmarkEnd w:id="7"/>
      <w:r/>
      <w:r>
        <w:rPr>
          <w:i/>
        </w:rPr>
      </w:r>
    </w:p>
    <w:p>
      <w:pPr>
        <w:pStyle w:val="667"/>
        <w:spacing w:before="0" w:beforeAutospacing="0" w:after="0" w:afterAutospacing="0" w:line="276" w:lineRule="auto"/>
      </w:pPr>
      <w:r/>
      <w:r/>
    </w:p>
    <w:p>
      <w:pPr>
        <w:pStyle w:val="668"/>
        <w:numPr>
          <w:ilvl w:val="0"/>
          <w:numId w:val="3"/>
        </w:numPr>
        <w:jc w:val="center"/>
        <w:keepLines/>
        <w:spacing w:before="0" w:beforeAutospacing="0" w:after="0" w:afterAutospacing="0" w:line="276" w:lineRule="auto"/>
        <w:rPr>
          <w:iCs/>
          <w:caps/>
        </w:rPr>
      </w:pPr>
      <w:r/>
      <w:bookmarkStart w:id="8" w:name="_Toc9"/>
      <w:r>
        <w:rPr>
          <w:iCs/>
        </w:rPr>
        <w:t xml:space="preserve">Требования к продукции</w:t>
      </w:r>
      <w:bookmarkEnd w:id="8"/>
      <w:r/>
      <w:r>
        <w:rPr>
          <w:iCs/>
          <w:caps/>
        </w:rPr>
      </w:r>
    </w:p>
    <w:p>
      <w:pPr>
        <w:pStyle w:val="671"/>
        <w:numPr>
          <w:ilvl w:val="1"/>
          <w:numId w:val="3"/>
        </w:numPr>
        <w:ind w:left="1440" w:firstLine="0"/>
        <w:spacing w:before="0" w:beforeAutospacing="0" w:after="0" w:afterAutospacing="0" w:line="276" w:lineRule="auto"/>
      </w:pPr>
      <w:r/>
      <w:bookmarkStart w:id="9" w:name="_Toc10"/>
      <w:r>
        <w:t xml:space="preserve"> </w:t>
      </w:r>
      <w:r>
        <w:t xml:space="preserve">Требования к объемам и срокам выполнения работ</w:t>
      </w:r>
      <w:bookmarkEnd w:id="9"/>
      <w:r/>
      <w:r/>
    </w:p>
    <w:p>
      <w:pPr>
        <w:pStyle w:val="670"/>
        <w:numPr>
          <w:ilvl w:val="2"/>
          <w:numId w:val="3"/>
        </w:numPr>
        <w:spacing w:before="0" w:beforeAutospacing="0" w:after="0" w:afterAutospacing="0" w:line="276" w:lineRule="auto"/>
      </w:pPr>
      <w:r/>
      <w:bookmarkStart w:id="10" w:name="_Toc11"/>
      <w:r>
        <w:t xml:space="preserve"> </w:t>
      </w:r>
      <w:r>
        <w:t xml:space="preserve">Требования к видам и объемам работ</w:t>
      </w:r>
      <w:bookmarkEnd w:id="10"/>
      <w:r/>
      <w:r/>
    </w:p>
    <w:p>
      <w:pPr>
        <w:pStyle w:val="667"/>
        <w:spacing w:line="276" w:lineRule="auto"/>
      </w:pPr>
      <w:r/>
      <w:r/>
    </w:p>
    <w:p>
      <w:pPr>
        <w:pStyle w:val="668"/>
        <w:numPr>
          <w:ilvl w:val="0"/>
          <w:numId w:val="0"/>
        </w:numPr>
        <w:ind w:left="0" w:firstLine="0"/>
        <w:keepLines/>
        <w:spacing w:before="0" w:beforeAutospacing="0" w:after="0" w:afterAutospacing="0" w:line="276" w:lineRule="auto"/>
        <w:rPr>
          <w:sz w:val="24"/>
          <w:szCs w:val="24"/>
        </w:rPr>
      </w:pPr>
      <w:r/>
      <w:bookmarkStart w:id="11" w:name="_Toc12"/>
      <w:r>
        <w:rPr>
          <w:sz w:val="24"/>
          <w:szCs w:val="24"/>
        </w:rPr>
        <w:t xml:space="preserve">Таблица 2. Перечень и объем выполняемых работ</w:t>
      </w:r>
      <w:bookmarkEnd w:id="11"/>
      <w:r/>
      <w:r>
        <w:rPr>
          <w:sz w:val="24"/>
          <w:szCs w:val="24"/>
        </w:rPr>
      </w:r>
    </w:p>
    <w:tbl>
      <w:tblPr>
        <w:tblW w:w="10063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709"/>
        <w:gridCol w:w="5102"/>
        <w:gridCol w:w="2125"/>
        <w:gridCol w:w="212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keepNext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</w:p>
          <w:p>
            <w:pPr>
              <w:pStyle w:val="667"/>
              <w:jc w:val="center"/>
              <w:keepNext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keepNext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keepNext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Единица измерения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keepNext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11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67"/>
              <w:spacing w:before="0" w:beforeAutospacing="0" w:after="0" w:afterAutospacing="0" w:line="276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pStyle w:val="667"/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cs="Times New Roman"/>
                <w:b w:val="0"/>
                <w:bCs w:val="0"/>
                <w:color w:val="000000" w:themeColor="text1"/>
                <w:sz w:val="22"/>
                <w:szCs w:val="22"/>
                <w:shd w:val="clear" w:color="auto" w:fill="auto"/>
              </w:rPr>
              <w:t xml:space="preserve">ОКПД2 71.12. Оказание услуг по проведению комплексного технического обследования здания Административного корпуса СУ ТЭЦ г. Благовещенск для Амурских тепловых сетей</w:t>
            </w:r>
            <w:r>
              <w:rPr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Усл. Ед.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 w:line="276" w:lineRule="auto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</w:t>
            </w:r>
            <w:r>
              <w:rPr>
                <w:i/>
                <w:iCs/>
                <w:sz w:val="22"/>
                <w:szCs w:val="22"/>
              </w:rPr>
            </w:r>
          </w:p>
        </w:tc>
      </w:tr>
    </w:tbl>
    <w:p>
      <w:pPr>
        <w:pStyle w:val="670"/>
        <w:numPr>
          <w:ilvl w:val="2"/>
          <w:numId w:val="3"/>
        </w:numPr>
      </w:pPr>
      <w:r/>
      <w:bookmarkStart w:id="12" w:name="_Toc13"/>
      <w:r>
        <w:t xml:space="preserve">Требования к срокам выполнения работ</w:t>
      </w:r>
      <w:bookmarkEnd w:id="12"/>
      <w:r/>
      <w:r/>
    </w:p>
    <w:p>
      <w:pPr>
        <w:pStyle w:val="667"/>
      </w:pPr>
      <w:r/>
      <w:r/>
    </w:p>
    <w:p>
      <w:pPr>
        <w:pStyle w:val="667"/>
      </w:pPr>
      <w:r/>
      <w:r/>
    </w:p>
    <w:p>
      <w:pPr>
        <w:pStyle w:val="668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13" w:name="_Toc14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Таблица 3. </w:t>
      </w:r>
      <w:bookmarkStart w:id="14" w:name="_Hlk50465284"/>
      <w:r>
        <w:rPr>
          <w:sz w:val="24"/>
          <w:szCs w:val="24"/>
        </w:rPr>
        <w:t xml:space="preserve">Требования по срокам </w:t>
      </w:r>
      <w:bookmarkEnd w:id="14"/>
      <w:r>
        <w:rPr>
          <w:sz w:val="24"/>
          <w:szCs w:val="24"/>
        </w:rPr>
        <w:t xml:space="preserve">выполнения работ</w:t>
      </w:r>
      <w:bookmarkEnd w:id="13"/>
      <w:r/>
      <w:r>
        <w:rPr>
          <w:sz w:val="24"/>
          <w:szCs w:val="24"/>
        </w:rPr>
      </w:r>
    </w:p>
    <w:tbl>
      <w:tblPr>
        <w:tblW w:w="9776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0"/>
        <w:gridCol w:w="5105"/>
        <w:gridCol w:w="2130"/>
        <w:gridCol w:w="1840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0" w:type="dxa"/>
            <w:textDirection w:val="lrTb"/>
            <w:noWrap w:val="false"/>
          </w:tcPr>
          <w:p>
            <w:pPr>
              <w:pStyle w:val="667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началу срока выполнения работ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0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окончанию срока выполнения работ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667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5" w:type="dxa"/>
            <w:textDirection w:val="lrTb"/>
            <w:noWrap w:val="false"/>
          </w:tcPr>
          <w:p>
            <w:pPr>
              <w:pStyle w:val="667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0" w:type="dxa"/>
            <w:textDirection w:val="lrTb"/>
            <w:noWrap w:val="false"/>
          </w:tcPr>
          <w:p>
            <w:pPr>
              <w:pStyle w:val="803"/>
              <w:jc w:val="center"/>
              <w:keepNext w:val="0"/>
              <w:spacing w:before="40" w:after="40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0" w:type="dxa"/>
            <w:textDirection w:val="lrTb"/>
            <w:noWrap w:val="false"/>
          </w:tcPr>
          <w:p>
            <w:pPr>
              <w:pStyle w:val="803"/>
              <w:jc w:val="center"/>
              <w:keepNext w:val="0"/>
              <w:spacing w:before="40" w:after="40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09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667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5" w:type="dxa"/>
            <w:textDirection w:val="lrTb"/>
            <w:noWrap w:val="false"/>
          </w:tcPr>
          <w:p>
            <w:pPr>
              <w:pStyle w:val="667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cs="Times New Roman"/>
                <w:b w:val="0"/>
                <w:bCs w:val="0"/>
                <w:color w:val="000000" w:themeColor="text1"/>
                <w:sz w:val="22"/>
                <w:szCs w:val="22"/>
                <w:shd w:val="clear" w:color="auto" w:fill="auto"/>
              </w:rPr>
              <w:t xml:space="preserve">ОКПД2 71.12. Оказание услуг по проведению комплексного технического обследования здания Административного корпуса СУ ТЭЦ г. Благовещенск для Амурских тепловых сетей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0" w:type="dxa"/>
            <w:textDirection w:val="lrTb"/>
            <w:noWrap w:val="false"/>
          </w:tcPr>
          <w:p>
            <w:pPr>
              <w:pStyle w:val="667"/>
              <w:jc w:val="center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eastAsia="Calibri"/>
                <w:i/>
                <w:iCs/>
                <w:sz w:val="22"/>
                <w:szCs w:val="22"/>
                <w:shd w:val="clear" w:color="auto" w:fill="auto"/>
              </w:rPr>
              <w:t xml:space="preserve">С даты заключения договора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0" w:type="dxa"/>
            <w:textDirection w:val="lrTb"/>
            <w:noWrap w:val="false"/>
          </w:tcPr>
          <w:p>
            <w:pPr>
              <w:pStyle w:val="667"/>
              <w:ind w:left="0" w:firstLine="0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i/>
                <w:iCs/>
                <w:sz w:val="22"/>
                <w:szCs w:val="22"/>
                <w:shd w:val="clear" w:color="auto" w:fill="auto"/>
              </w:rPr>
              <w:t xml:space="preserve">Выполнение работ в течение 96 дней </w:t>
            </w: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headerReference w:type="default" r:id="rId9"/>
          <w:footnotePr/>
          <w:endnotePr/>
          <w:type w:val="nextPage"/>
          <w:pgSz w:w="11906" w:h="16838" w:orient="portrait"/>
          <w:pgMar w:top="1134" w:right="851" w:bottom="992" w:left="1134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671"/>
        <w:numPr>
          <w:ilvl w:val="1"/>
          <w:numId w:val="3"/>
        </w:numPr>
        <w:ind w:left="1440" w:firstLine="0"/>
        <w:jc w:val="left"/>
        <w:keepNext w:val="0"/>
        <w:spacing w:before="120" w:after="60"/>
        <w:rPr>
          <w:rFonts w:eastAsia="Calibri"/>
          <w:sz w:val="24"/>
          <w:szCs w:val="24"/>
        </w:rPr>
      </w:pPr>
      <w:r/>
      <w:bookmarkStart w:id="15" w:name="_Toc15"/>
      <w:r>
        <w:t xml:space="preserve"> </w:t>
      </w:r>
      <w:r>
        <w:t xml:space="preserve">Требования к качеству работ</w:t>
      </w:r>
      <w:bookmarkEnd w:id="15"/>
      <w:r/>
      <w:r>
        <w:rPr>
          <w:rFonts w:eastAsia="Calibri"/>
          <w:sz w:val="24"/>
          <w:szCs w:val="24"/>
        </w:rPr>
      </w:r>
    </w:p>
    <w:p>
      <w:pPr>
        <w:pStyle w:val="668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16" w:name="_Toc16"/>
      <w:r>
        <w:rPr>
          <w:sz w:val="24"/>
          <w:szCs w:val="24"/>
        </w:rPr>
        <w:t xml:space="preserve">Таблица 4. Требования к качеству работ </w:t>
      </w:r>
      <w:bookmarkEnd w:id="16"/>
      <w:r/>
      <w:r>
        <w:rPr>
          <w:sz w:val="24"/>
          <w:szCs w:val="24"/>
        </w:rPr>
      </w:r>
    </w:p>
    <w:p>
      <w:pPr>
        <w:pStyle w:val="667"/>
        <w:jc w:val="both"/>
        <w:rPr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Наименование работ/этапа работ: ОКПД2 71.12. Оказание услуг по проведению комплексного технического обследования здания Административного корпуса СУ ТЭЦ г. Благовещенск для Амурских тепловых сетей</w:t>
      </w:r>
      <w:r>
        <w:rPr>
          <w:highlight w:val="none"/>
          <w:shd w:val="clear" w:color="auto" w:fill="auto"/>
        </w:rPr>
      </w:r>
    </w:p>
    <w:p>
      <w:pPr>
        <w:pStyle w:val="667"/>
      </w:pPr>
      <w:r/>
      <w:r/>
    </w:p>
    <w:tbl>
      <w:tblPr>
        <w:tblStyle w:val="949"/>
        <w:tblpPr w:horzAnchor="text" w:tblpXSpec="left" w:vertAnchor="text" w:tblpY="1" w:leftFromText="180" w:topFromText="0" w:rightFromText="180" w:bottomFromText="0"/>
        <w:tblW w:w="1488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494"/>
        <w:gridCol w:w="2088"/>
        <w:gridCol w:w="5631"/>
        <w:gridCol w:w="2975"/>
        <w:gridCol w:w="2696"/>
      </w:tblGrid>
      <w:tr>
        <w:tblPrEx/>
        <w:trPr/>
        <w:tc>
          <w:tcPr>
            <w:tcW w:w="1494" w:type="dxa"/>
            <w:vAlign w:val="center"/>
            <w:vMerge w:val="restart"/>
            <w:textDirection w:val="lrTb"/>
            <w:noWrap w:val="false"/>
          </w:tcPr>
          <w:p>
            <w:pPr>
              <w:pStyle w:val="667"/>
              <w:jc w:val="left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п/п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8" w:type="dxa"/>
            <w:vAlign w:val="center"/>
            <w:vMerge w:val="restart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631" w:type="dxa"/>
            <w:vAlign w:val="center"/>
            <w:vMerge w:val="restart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5671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94" w:type="dxa"/>
            <w:vAlign w:val="center"/>
            <w:vMerge w:val="continue"/>
            <w:textDirection w:val="lrTb"/>
            <w:noWrap w:val="false"/>
          </w:tcPr>
          <w:p>
            <w:pPr>
              <w:pStyle w:val="667"/>
              <w:jc w:val="left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8" w:type="dxa"/>
            <w:vAlign w:val="center"/>
            <w:vMerge w:val="continue"/>
            <w:textDirection w:val="lrTb"/>
            <w:noWrap w:val="false"/>
          </w:tcPr>
          <w:p>
            <w:pPr>
              <w:pStyle w:val="667"/>
              <w:jc w:val="left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631" w:type="dxa"/>
            <w:vAlign w:val="center"/>
            <w:vMerge w:val="continue"/>
            <w:textDirection w:val="lrTb"/>
            <w:noWrap w:val="false"/>
          </w:tcPr>
          <w:p>
            <w:pPr>
              <w:pStyle w:val="667"/>
              <w:jc w:val="left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97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W w:w="2088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5631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97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5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1.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7719" w:type="dxa"/>
            <w:vAlign w:val="center"/>
            <w:textDirection w:val="lrTb"/>
            <w:noWrap w:val="false"/>
          </w:tcPr>
          <w:p>
            <w:pPr>
              <w:pStyle w:val="667"/>
              <w:jc w:val="left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Требования к выполнению работ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975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696" w:type="dxa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1.1.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7719" w:type="dxa"/>
            <w:vAlign w:val="center"/>
            <w:textDirection w:val="lrTb"/>
            <w:noWrap w:val="false"/>
          </w:tcPr>
          <w:p>
            <w:pPr>
              <w:pStyle w:val="667"/>
              <w:jc w:val="left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Общие требования к выполнению работ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975" w:type="dxa"/>
            <w:vAlign w:val="center"/>
            <w:textDirection w:val="lrTb"/>
            <w:noWrap w:val="false"/>
          </w:tcPr>
          <w:p>
            <w:pPr>
              <w:pStyle w:val="667"/>
              <w:jc w:val="left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1.1.1.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088" w:type="dxa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eastAsia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5631" w:type="dxa"/>
            <w:textDirection w:val="lrTb"/>
            <w:noWrap w:val="false"/>
          </w:tcPr>
          <w:p>
            <w:pPr>
              <w:pStyle w:val="668"/>
              <w:numPr>
                <w:ilvl w:val="0"/>
                <w:numId w:val="0"/>
              </w:numPr>
              <w:ind w:left="0" w:firstLine="283"/>
              <w:jc w:val="both"/>
              <w:spacing w:before="0" w:beforeAutospacing="0" w:after="0" w:afterAutospacing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/>
            <w:bookmarkStart w:id="17" w:name="_Toc17"/>
            <w:r>
              <w:rPr>
                <w:rFonts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При выполнении работ подрядчик должен руководствоваться следующими нормативно-техническими документами:</w:t>
            </w:r>
            <w:bookmarkEnd w:id="17"/>
            <w:r/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</w:p>
          <w:p>
            <w:pPr>
              <w:pStyle w:val="667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  <w:t xml:space="preserve">Федерального закона №184-ФЗ «О техническом регулировании»;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  <w:p>
            <w:pPr>
              <w:pStyle w:val="667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851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  <w:t xml:space="preserve">Федерального закона №384-ФЗ от 30.12.2009 «Технический регламент о безопасности зданий и сооружений»;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  <w:p>
            <w:pPr>
              <w:pStyle w:val="667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  <w:t xml:space="preserve">ГОСТ Р 31937-2024 Здания и сооружения. Правила обследования и мониторинга технического состояния;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  <w:p>
            <w:pPr>
              <w:pStyle w:val="667"/>
              <w:ind w:left="0" w:firstLine="709"/>
              <w:jc w:val="both"/>
              <w:shd w:val="clear" w:color="auto" w:fill="ffffff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  <w:t xml:space="preserve">Рекомендации по учету влияния дефектов и повреждений на эксплуатационную пригодность стальных конструкций. М., ЦНИИСТАЛЬКОНСТРУКЦИЯ, 1987 г.;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  <w:p>
            <w:pPr>
              <w:pStyle w:val="667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  <w:t xml:space="preserve">СП 13-102-2003 Правила обследования несущих строительных конструкций зданий и сооружений;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  <w:p>
            <w:pPr>
              <w:pStyle w:val="667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  <w:t xml:space="preserve">СП 16.13330-2017 Стальные конструкции;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  <w:p>
            <w:pPr>
              <w:pStyle w:val="667"/>
              <w:ind w:left="0" w:firstLine="709"/>
              <w:jc w:val="both"/>
              <w:shd w:val="clear" w:color="auto" w:fill="ffffff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  <w:t xml:space="preserve">СП 17.13330-2017 Кровли;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  <w:p>
            <w:pPr>
              <w:pStyle w:val="667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  <w:t xml:space="preserve">СП 20.13330-2016 Нагрузки и воздействия;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  <w:p>
            <w:pPr>
              <w:pStyle w:val="667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  <w:t xml:space="preserve">СП 72.13330.2016 Защита строительных конструкций и сооружений от коррозии;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  <w:p>
            <w:pPr>
              <w:pStyle w:val="667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  <w:t xml:space="preserve">СП 28.13330.2017 Защита строительных конструкций от коррозии;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  <w:p>
            <w:pPr>
              <w:pStyle w:val="667"/>
              <w:ind w:left="0" w:firstLine="709"/>
              <w:jc w:val="both"/>
              <w:widowControl w:val="off"/>
              <w:tabs>
                <w:tab w:val="left" w:pos="0" w:leader="none"/>
                <w:tab w:val="left" w:pos="567" w:leader="none"/>
                <w:tab w:val="clear" w:pos="708" w:leader="none"/>
                <w:tab w:val="left" w:pos="993" w:leader="none"/>
              </w:tabs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lang w:val="ru-RU" w:eastAsia="ru-RU" w:bidi="ar-SA"/>
              </w:rPr>
              <w:t xml:space="preserve">СП 63.13330-2018. Бетонные и железобетонные конструкции.</w:t>
            </w:r>
            <w:r>
              <w:rPr>
                <w:rFonts w:ascii="Times New Roman" w:hAnsi="Times New Roman" w:eastAsia="Noto Serif CJK SC" w:cs="Arial Unicode MS"/>
                <w:color w:val="000000"/>
                <w:sz w:val="22"/>
                <w:szCs w:val="22"/>
                <w:lang w:val="ru-RU" w:eastAsia="ru-RU" w:bidi="ar-SA"/>
              </w:rPr>
            </w:r>
          </w:p>
        </w:tc>
        <w:tc>
          <w:tcPr>
            <w:shd w:val="clear" w:color="auto" w:fill="auto"/>
            <w:tcW w:w="297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техническим  требованиям, по форме Технического предложения, установленной в документации о закупке</w:t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-</w:t>
            </w:r>
            <w:r>
              <w:rPr>
                <w:b/>
                <w:sz w:val="22"/>
                <w:szCs w:val="22"/>
                <w:lang w:val="ru-RU" w:eastAsia="ru-RU" w:bidi="ar-SA"/>
              </w:rPr>
              <w:t xml:space="preserve">//-</w:t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1.2.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7719" w:type="dxa"/>
            <w:vAlign w:val="center"/>
            <w:textDirection w:val="lrTb"/>
            <w:noWrap w:val="false"/>
          </w:tcPr>
          <w:p>
            <w:pPr>
              <w:pStyle w:val="667"/>
              <w:jc w:val="left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Требования к организации работ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97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1984"/>
        </w:trPr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1.2.1.</w:t>
            </w:r>
            <w:r>
              <w:rPr>
                <w:sz w:val="22"/>
                <w:szCs w:val="22"/>
              </w:rPr>
            </w:r>
          </w:p>
        </w:tc>
        <w:tc>
          <w:tcPr>
            <w:tcW w:w="2088" w:type="dxa"/>
            <w:textDirection w:val="lrTb"/>
            <w:noWrap w:val="false"/>
          </w:tcPr>
          <w:p>
            <w:pPr>
              <w:pStyle w:val="667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eastAsia="ru-RU" w:bidi="ar-SA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5631" w:type="dxa"/>
            <w:textDirection w:val="lrTb"/>
            <w:noWrap w:val="false"/>
          </w:tcPr>
          <w:p>
            <w:pPr>
              <w:pStyle w:val="667"/>
              <w:ind w:firstLine="283"/>
              <w:jc w:val="both"/>
              <w:spacing w:before="0" w:after="0" w:afterAutospacing="0"/>
              <w:widowControl w:val="off"/>
              <w:rPr>
                <w:bCs/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  <w:lang w:val="ru-RU" w:eastAsia="ru-RU" w:bidi="ar-SA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bCs/>
                <w:i w:val="0"/>
                <w:iCs w:val="0"/>
                <w:sz w:val="22"/>
                <w:szCs w:val="22"/>
              </w:rPr>
            </w:r>
          </w:p>
          <w:p>
            <w:pPr>
              <w:pStyle w:val="667"/>
              <w:ind w:firstLine="283"/>
              <w:jc w:val="both"/>
              <w:spacing w:before="0" w:after="0" w:afterAutospacing="0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2"/>
                <w:szCs w:val="22"/>
                <w:shd w:val="clear" w:color="auto" w:fill="auto"/>
                <w:lang w:val="ru-RU" w:eastAsia="ru-RU" w:bidi="ar-SA"/>
              </w:rPr>
              <w:t xml:space="preserve">- Положением «О допуске персонала подрядных организаций к выполнению работ на объектах АО «ДГК» </w:t>
            </w:r>
            <w:r>
              <w:rPr>
                <w:rFonts w:eastAsia="Times New Roman" w:cs="Times New Roman"/>
                <w:sz w:val="22"/>
                <w:szCs w:val="22"/>
                <w:shd w:val="clear" w:color="auto" w:fill="auto"/>
              </w:rPr>
              <w:t xml:space="preserve"> 22.1-504-2025 утв. Приказом АО «ДГК» от 25.09.2025 № П-ДГК/795 </w:t>
            </w:r>
            <w:r>
              <w:rPr>
                <w:rFonts w:eastAsia="Times New Roman" w:cs="Times New Roman"/>
                <w:sz w:val="24"/>
                <w:szCs w:val="24"/>
                <w:shd w:val="clear" w:color="auto" w:fill="auto"/>
              </w:rPr>
              <w:t xml:space="preserve">Приложение № 4 к настоящим ТТ)</w:t>
            </w:r>
            <w:r>
              <w:rPr>
                <w:i w:val="0"/>
                <w:iCs w:val="0"/>
                <w:sz w:val="22"/>
                <w:szCs w:val="22"/>
                <w:shd w:val="clear" w:color="auto" w:fill="auto"/>
                <w:lang w:val="ru-RU" w:eastAsia="ru-RU" w:bidi="ar-SA"/>
              </w:rPr>
              <w:t xml:space="preserve">;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67"/>
              <w:ind w:firstLine="283"/>
              <w:jc w:val="both"/>
              <w:spacing w:before="0" w:after="0" w:afterAutospacing="0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2"/>
                <w:szCs w:val="22"/>
                <w:shd w:val="clear" w:color="auto" w:fill="auto"/>
                <w:lang w:val="ru-RU" w:eastAsia="ru-RU" w:bidi="ar-SA"/>
              </w:rPr>
              <w:t xml:space="preserve">- Инструкцией о пропускном и внутриобъектовом режимах на объектах СП «Амурские тепловые сети» АО «ДГК», с обязательным оформлением необходимых нарядов-допусков </w:t>
            </w:r>
            <w:r>
              <w:rPr>
                <w:rFonts w:eastAsia="Times New Roman" w:cs="Times New Roman"/>
                <w:sz w:val="24"/>
                <w:szCs w:val="24"/>
                <w:shd w:val="clear" w:color="auto" w:fill="auto"/>
              </w:rPr>
              <w:t xml:space="preserve">Приложение № 3 к настоящим ТТ)</w:t>
            </w:r>
            <w:r>
              <w:rPr>
                <w:i w:val="0"/>
                <w:iCs w:val="0"/>
                <w:sz w:val="22"/>
                <w:szCs w:val="22"/>
                <w:shd w:val="clear" w:color="auto" w:fill="auto"/>
                <w:lang w:val="ru-RU" w:eastAsia="ru-RU" w:bidi="ar-SA"/>
              </w:rPr>
              <w:t xml:space="preserve">.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2975" w:type="dxa"/>
            <w:textDirection w:val="lrTb"/>
            <w:noWrap w:val="false"/>
          </w:tcPr>
          <w:p>
            <w:pPr>
              <w:pStyle w:val="667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802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 w:cs="Arial Unicode MS"/>
                <w:b w:val="0"/>
                <w:sz w:val="22"/>
                <w:szCs w:val="22"/>
                <w:lang w:val="ru-RU" w:eastAsia="ru-RU" w:bidi="ar-SA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</w:tc>
      </w:tr>
      <w:tr>
        <w:tblPrEx/>
        <w:trPr>
          <w:trHeight w:val="590"/>
        </w:trPr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1.2.2.</w:t>
            </w:r>
            <w:r>
              <w:rPr>
                <w:sz w:val="22"/>
                <w:szCs w:val="22"/>
              </w:rPr>
            </w:r>
          </w:p>
        </w:tc>
        <w:tc>
          <w:tcPr>
            <w:tcW w:w="2088" w:type="dxa"/>
            <w:textDirection w:val="lrTb"/>
            <w:noWrap w:val="false"/>
          </w:tcPr>
          <w:p>
            <w:pPr>
              <w:pStyle w:val="667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eastAsia="ru-RU" w:bidi="ar-SA"/>
              </w:rPr>
              <w:t xml:space="preserve">Требования к организации</w:t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5631" w:type="dxa"/>
            <w:textDirection w:val="lrTb"/>
            <w:noWrap w:val="false"/>
          </w:tcPr>
          <w:p>
            <w:pPr>
              <w:pStyle w:val="667"/>
              <w:ind w:left="0" w:right="0" w:firstLine="0"/>
              <w:jc w:val="left"/>
              <w:spacing w:before="0" w:after="0"/>
              <w:shd w:val="clear" w:color="ffffff" w:fill="ffffff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color w:val="2b2b2b"/>
                <w:sz w:val="22"/>
                <w:szCs w:val="22"/>
                <w:highlight w:val="white"/>
                <w:lang w:val="ru-RU" w:eastAsia="ru-RU" w:bidi="ar-SA"/>
              </w:rPr>
              <w:t xml:space="preserve">Организация должна иметь аттестованную лабораторию для неразрушающего контроля, иметь необходимые допуски СРО.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5" w:type="dxa"/>
            <w:textDirection w:val="lrTb"/>
            <w:noWrap w:val="false"/>
          </w:tcPr>
          <w:p>
            <w:pPr>
              <w:pStyle w:val="667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1.3.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7719" w:type="dxa"/>
            <w:vAlign w:val="center"/>
            <w:textDirection w:val="lrTb"/>
            <w:noWrap w:val="false"/>
          </w:tcPr>
          <w:p>
            <w:pPr>
              <w:pStyle w:val="667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Требования к контролю качества работ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97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1.3.1.</w:t>
            </w:r>
            <w:r>
              <w:rPr>
                <w:sz w:val="22"/>
                <w:szCs w:val="22"/>
              </w:rPr>
            </w:r>
          </w:p>
        </w:tc>
        <w:tc>
          <w:tcPr>
            <w:tcW w:w="2088" w:type="dxa"/>
            <w:textDirection w:val="lrTb"/>
            <w:noWrap w:val="false"/>
          </w:tcPr>
          <w:p>
            <w:pPr>
              <w:pStyle w:val="667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eastAsia="ru-RU" w:bidi="ar-SA"/>
              </w:rPr>
              <w:t xml:space="preserve">Контроль качества работ</w:t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5631" w:type="dxa"/>
            <w:textDirection w:val="lrTb"/>
            <w:noWrap w:val="false"/>
          </w:tcPr>
          <w:p>
            <w:pPr>
              <w:pStyle w:val="668"/>
              <w:numPr>
                <w:ilvl w:val="0"/>
                <w:numId w:val="0"/>
              </w:numPr>
              <w:ind w:left="0" w:firstLine="283"/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  <w:highlight w:val="green"/>
              </w:rPr>
            </w:pPr>
            <w:r>
              <w:rPr>
                <w:b w:val="0"/>
                <w:bCs w:val="0"/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Работы должны быть выполнены в полном соответствии с требованиями государственных стандартов, действующих строительных норм и правил, технических регламентов, санитарных норм и правил.</w:t>
            </w:r>
            <w:r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  <w:highlight w:val="green"/>
              </w:rPr>
            </w:r>
          </w:p>
        </w:tc>
        <w:tc>
          <w:tcPr>
            <w:tcW w:w="2975" w:type="dxa"/>
            <w:vAlign w:val="center"/>
            <w:textDirection w:val="lrTb"/>
            <w:noWrap w:val="false"/>
          </w:tcPr>
          <w:p>
            <w:pPr>
              <w:pStyle w:val="667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667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1.4.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7719" w:type="dxa"/>
            <w:vAlign w:val="center"/>
            <w:textDirection w:val="lrTb"/>
            <w:noWrap w:val="false"/>
          </w:tcPr>
          <w:p>
            <w:pPr>
              <w:pStyle w:val="667"/>
              <w:jc w:val="left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Требования к безопасности работ и охране труда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97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1.4.1.</w:t>
            </w:r>
            <w:r>
              <w:rPr>
                <w:sz w:val="22"/>
                <w:szCs w:val="22"/>
              </w:rPr>
            </w:r>
          </w:p>
        </w:tc>
        <w:tc>
          <w:tcPr>
            <w:tcW w:w="2088" w:type="dxa"/>
            <w:textDirection w:val="lrTb"/>
            <w:noWrap w:val="false"/>
          </w:tcPr>
          <w:p>
            <w:pPr>
              <w:pStyle w:val="667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eastAsia="ru-RU" w:bidi="ar-SA"/>
              </w:rPr>
              <w:t xml:space="preserve">Требования к безопасности выполняемых работ</w:t>
            </w: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631" w:type="dxa"/>
            <w:textDirection w:val="lrTb"/>
            <w:noWrap w:val="false"/>
          </w:tcPr>
          <w:p>
            <w:pPr>
              <w:pStyle w:val="785"/>
              <w:ind w:firstLine="283"/>
              <w:jc w:val="both"/>
              <w:spacing w:before="0" w:beforeAutospacing="0" w:after="0" w:afterAutospacing="0" w:line="240" w:lineRule="auto"/>
              <w:widowControl w:val="off"/>
              <w:rPr>
                <w:bCs/>
                <w:i w:val="0"/>
                <w:iCs w:val="0"/>
                <w:sz w:val="22"/>
                <w:szCs w:val="22"/>
              </w:rPr>
            </w:pPr>
            <w:r>
              <w:rPr>
                <w:bCs/>
                <w:i w:val="0"/>
                <w:iCs w:val="0"/>
                <w:sz w:val="22"/>
                <w:szCs w:val="22"/>
                <w:lang w:val="ru-RU" w:eastAsia="ru-RU" w:bidi="ar-SA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защиты.</w:t>
            </w:r>
            <w:r>
              <w:rPr>
                <w:bCs/>
                <w:i w:val="0"/>
                <w:iCs w:val="0"/>
                <w:sz w:val="22"/>
                <w:szCs w:val="22"/>
              </w:rPr>
            </w:r>
          </w:p>
        </w:tc>
        <w:tc>
          <w:tcPr>
            <w:tcW w:w="2975" w:type="dxa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2696" w:type="dxa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667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1.4.2.</w:t>
            </w:r>
            <w:r>
              <w:rPr>
                <w:sz w:val="22"/>
                <w:szCs w:val="22"/>
              </w:rPr>
            </w:r>
          </w:p>
        </w:tc>
        <w:tc>
          <w:tcPr>
            <w:tcW w:w="2088" w:type="dxa"/>
            <w:textDirection w:val="lrTb"/>
            <w:noWrap w:val="false"/>
          </w:tcPr>
          <w:p>
            <w:pPr>
              <w:pStyle w:val="667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eastAsia="ru-RU" w:bidi="ar-SA"/>
              </w:rPr>
              <w:t xml:space="preserve">Соблюдение требований к пожарной безопасности</w:t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5631" w:type="dxa"/>
            <w:textDirection w:val="lrTb"/>
            <w:noWrap w:val="false"/>
          </w:tcPr>
          <w:p>
            <w:pPr>
              <w:pStyle w:val="667"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jc w:val="both"/>
              <w:spacing w:before="0" w:after="0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- Правила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jc w:val="both"/>
              <w:spacing w:before="0" w:after="0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- №123-ФЗ от 22.07.2008 «Технический регламент о требованиях пожарной безопасности»;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jc w:val="both"/>
              <w:spacing w:before="0" w:after="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- ГОСТ 12.1.004-91* Система стандартов безопасности труда. Пожарная безопасность. Общие требования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ind w:firstLine="709"/>
              <w:jc w:val="both"/>
              <w:spacing w:before="0" w:after="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contextualSpacing/>
              <w:jc w:val="both"/>
              <w:spacing w:before="0" w:after="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Приказом по организации должно быть назначено лицо, ответственное за соблюдение требований пожарной безопасности  в местах производства работ.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contextualSpacing/>
              <w:jc w:val="both"/>
              <w:spacing w:before="0" w:after="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contextualSpacing/>
              <w:jc w:val="both"/>
              <w:spacing w:before="0" w:after="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2975" w:type="dxa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696" w:type="dxa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667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1.4.3.</w:t>
            </w:r>
            <w:r>
              <w:rPr>
                <w:sz w:val="22"/>
                <w:szCs w:val="22"/>
              </w:rPr>
            </w:r>
          </w:p>
        </w:tc>
        <w:tc>
          <w:tcPr>
            <w:tcW w:w="2088" w:type="dxa"/>
            <w:textDirection w:val="lrTb"/>
            <w:noWrap w:val="false"/>
          </w:tcPr>
          <w:p>
            <w:pPr>
              <w:pStyle w:val="787"/>
              <w:contextualSpacing/>
              <w:ind w:left="0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eastAsia="ru-RU" w:bidi="ar-SA"/>
              </w:rPr>
              <w:t xml:space="preserve">Соблюдение требований охраны труда</w:t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5631" w:type="dxa"/>
            <w:textDirection w:val="lrTb"/>
            <w:noWrap w:val="false"/>
          </w:tcPr>
          <w:p>
            <w:pPr>
              <w:pStyle w:val="667"/>
              <w:ind w:firstLine="430"/>
              <w:jc w:val="both"/>
              <w:spacing w:before="0" w:after="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работ.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ind w:firstLine="430"/>
              <w:jc w:val="both"/>
              <w:spacing w:before="0" w:after="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ind w:firstLine="430"/>
              <w:jc w:val="both"/>
              <w:spacing w:before="0" w:after="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Организация участков работ и рабочих мест должна обеспечивать безопасность труда работающих на всех этапах выполнения строительно-монтажных работ.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667"/>
              <w:numPr>
                <w:ilvl w:val="0"/>
                <w:numId w:val="5"/>
              </w:numPr>
              <w:ind w:left="62" w:firstLine="0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Правилах по охране труда при работе с инструментом и приспособлениями (утверждены приказом Министерства труда от 27.11.2020 № 835н) и другие нормативные документы.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787"/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56" w:leader="none"/>
                <w:tab w:val="clear" w:pos="708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eastAsia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2975" w:type="dxa"/>
            <w:textDirection w:val="lrTb"/>
            <w:noWrap w:val="false"/>
          </w:tcPr>
          <w:p>
            <w:pPr>
              <w:pStyle w:val="667"/>
              <w:widowControl w:val="off"/>
            </w:pPr>
            <w:r/>
            <w:r/>
          </w:p>
        </w:tc>
        <w:tc>
          <w:tcPr>
            <w:tcW w:w="2696" w:type="dxa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667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1.5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7719" w:type="dxa"/>
            <w:vAlign w:val="center"/>
            <w:textDirection w:val="lrTb"/>
            <w:noWrap w:val="false"/>
          </w:tcPr>
          <w:p>
            <w:pPr>
              <w:pStyle w:val="787"/>
              <w:contextualSpacing/>
              <w:ind w:left="0" w:firstLine="0"/>
              <w:jc w:val="left"/>
              <w:spacing w:before="0" w:beforeAutospacing="0" w:after="0" w:afterAutospacing="0"/>
              <w:widowControl w:val="off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Требования к персоналу подрядчика</w:t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97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ind w:left="0" w:firstLine="0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1.5.1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7719" w:type="dxa"/>
            <w:textDirection w:val="lrTb"/>
            <w:noWrap w:val="false"/>
          </w:tcPr>
          <w:p>
            <w:pPr>
              <w:pStyle w:val="667"/>
              <w:ind w:left="0" w:right="0" w:firstLine="0"/>
              <w:jc w:val="left"/>
              <w:spacing w:before="0" w:after="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 xml:space="preserve">Обследование должно проводиться высококвалифицированными специалиста</w:t>
            </w: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 xml:space="preserve">ми, прошедшими соответствующую подготовку и аттестацию. Используемые приборы и оборудование должны быть поверены, откалиброваны и иметь сертификаты. Все проведённые работы фиксируются документально и сопровождаются оформлением актов и протоколов испытаний.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5" w:type="dxa"/>
            <w:textDirection w:val="lrTb"/>
            <w:noWrap w:val="false"/>
          </w:tcPr>
          <w:p>
            <w:pPr>
              <w:pStyle w:val="667"/>
              <w:widowControl w:val="off"/>
            </w:pPr>
            <w:r/>
            <w:r/>
          </w:p>
        </w:tc>
        <w:tc>
          <w:tcPr>
            <w:tcW w:w="2696" w:type="dxa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667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2.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7719" w:type="dxa"/>
            <w:vAlign w:val="center"/>
            <w:textDirection w:val="lrTb"/>
            <w:noWrap w:val="false"/>
          </w:tcPr>
          <w:p>
            <w:pPr>
              <w:pStyle w:val="667"/>
              <w:jc w:val="left"/>
              <w:spacing w:before="0" w:beforeAutospacing="0" w:after="0" w:afterAutospacing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Требования к результатам работ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975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696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0" w:beforeAutospacing="0" w:after="0" w:afterAutospacing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2.1.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ffffff"/>
            <w:tcW w:w="7719" w:type="dxa"/>
            <w:vAlign w:val="center"/>
            <w:textDirection w:val="lrTb"/>
            <w:noWrap w:val="false"/>
          </w:tcPr>
          <w:p>
            <w:pPr>
              <w:pStyle w:val="667"/>
              <w:jc w:val="both"/>
              <w:spacing w:before="0" w:after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Общие требования к результатам работ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667"/>
              <w:ind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276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По окончании оказания услуг Исполнитель представляет Заказчику отчет обследования технического состояния здания, содержащий: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67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134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- результаты обследования;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67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134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- ведомость дефектов;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777"/>
              <w:widowControl w:val="off"/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- заключения с указанием категории технического состояния обследуемого объекта.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67"/>
              <w:ind w:left="0" w:right="0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276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2.Отчеты обследования технического состояния здания  представляется на бумажном носителе (в 2-х экземплярах) и в электронном виде в форматах *.pdf, *.cdw,*.dwg, *.vsd, *.doc, *.xls, *.jpeg, *.tiff, *3D, *4D.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67"/>
              <w:ind w:left="0" w:right="0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276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3.Отчет обследования технического состояния должен быть подписан Руководителем организации - исполнителя, заверен печатью организации – исполнителя.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67"/>
              <w:ind w:left="0" w:right="0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276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  <w:t xml:space="preserve">4.Документы, имеющие подписи и согласования, представляются в электронной скан-копии в формате Acrobat Reader (PDF), при этом размер тома не должен превышать 50 Мб.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lang w:val="ru-RU" w:eastAsia="ru-RU" w:bidi="ar-SA"/>
              </w:rPr>
            </w:r>
          </w:p>
          <w:p>
            <w:pPr>
              <w:pStyle w:val="667"/>
              <w:ind w:left="0" w:right="0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1276" w:leader="none"/>
              </w:tabs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highlight w:val="none"/>
                <w:shd w:val="clear" w:color="auto" w:fill="ffffff"/>
                <w:lang w:val="ru-RU" w:eastAsia="ru-RU" w:bidi="ar-SA"/>
              </w:rPr>
            </w:pPr>
            <w:r>
              <w:rPr>
                <w:rFonts w:eastAsia="Noto Serif CJK SC" w:cs="Arial Unicode MS"/>
                <w:color w:val="00000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5.Размеры, форматы и содержание текстовых документов и чертежей, выполненные в электронных форматах, должны быть идентичны бумажному оригиналу, к которому они прилагаются.</w:t>
            </w:r>
            <w:r>
              <w:rPr>
                <w:rFonts w:ascii="Times New Roman" w:hAnsi="Times New Roman" w:eastAsia="Noto Serif CJK SC" w:cs="Arial Unicode MS"/>
                <w:color w:val="000000"/>
                <w:sz w:val="24"/>
                <w:szCs w:val="24"/>
                <w:highlight w:val="none"/>
                <w:shd w:val="clear" w:color="auto" w:fill="ffffff"/>
                <w:lang w:val="ru-RU" w:eastAsia="ru-RU" w:bidi="ar-SA"/>
              </w:rPr>
            </w:r>
          </w:p>
        </w:tc>
        <w:tc>
          <w:tcPr>
            <w:tcW w:w="2975" w:type="dxa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2696" w:type="dxa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1494" w:type="dxa"/>
            <w:vAlign w:val="center"/>
            <w:textDirection w:val="lrTb"/>
            <w:noWrap w:val="false"/>
          </w:tcPr>
          <w:p>
            <w:pPr>
              <w:pStyle w:val="667"/>
              <w:jc w:val="center"/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3.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7719" w:type="dxa"/>
            <w:vAlign w:val="center"/>
            <w:textDirection w:val="lrTb"/>
            <w:noWrap w:val="false"/>
          </w:tcPr>
          <w:p>
            <w:pPr>
              <w:pStyle w:val="667"/>
              <w:jc w:val="both"/>
              <w:spacing w:before="20" w:after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667"/>
              <w:ind w:left="0" w:right="0" w:firstLine="0"/>
              <w:jc w:val="left"/>
              <w:spacing w:before="0" w:after="0"/>
              <w:widowControl w:val="off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 xml:space="preserve">Гарантия результата.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  <w:p>
            <w:pPr>
              <w:pStyle w:val="667"/>
              <w:ind w:left="0" w:right="0" w:firstLine="0"/>
              <w:jc w:val="left"/>
              <w:spacing w:before="0" w:after="0"/>
              <w:widowControl w:val="off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 xml:space="preserve">Подрядчик несет гарантию за предоставленные расчёты и предоставленную документацию.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2975" w:type="dxa"/>
            <w:textDirection w:val="lrTb"/>
            <w:noWrap w:val="false"/>
          </w:tcPr>
          <w:p>
            <w:pPr>
              <w:pStyle w:val="667"/>
              <w:widowControl w:val="off"/>
            </w:pPr>
            <w:r/>
            <w:r/>
          </w:p>
        </w:tc>
        <w:tc>
          <w:tcPr>
            <w:tcW w:w="2696" w:type="dxa"/>
            <w:textDirection w:val="lrTb"/>
            <w:noWrap w:val="false"/>
          </w:tcPr>
          <w:p>
            <w:pPr>
              <w:pStyle w:val="667"/>
              <w:jc w:val="center"/>
              <w:spacing w:before="0" w:after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668"/>
        <w:numPr>
          <w:ilvl w:val="0"/>
          <w:numId w:val="0"/>
        </w:numPr>
        <w:ind w:left="360" w:firstLine="0"/>
        <w:jc w:val="center"/>
        <w:keepLines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668"/>
        <w:numPr>
          <w:ilvl w:val="0"/>
          <w:numId w:val="0"/>
        </w:numPr>
        <w:ind w:left="360" w:firstLine="0"/>
        <w:jc w:val="center"/>
        <w:keepLines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668"/>
        <w:numPr>
          <w:ilvl w:val="0"/>
          <w:numId w:val="6"/>
        </w:numPr>
        <w:jc w:val="center"/>
        <w:keepLines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Требования к документации по ценообразованию на этапе закупки</w:t>
      </w:r>
      <w:r>
        <w:rPr>
          <w:b/>
          <w:bCs/>
          <w:sz w:val="26"/>
          <w:szCs w:val="26"/>
        </w:rPr>
      </w:r>
    </w:p>
    <w:p>
      <w:pPr>
        <w:pStyle w:val="787"/>
        <w:numPr>
          <w:ilvl w:val="1"/>
          <w:numId w:val="6"/>
        </w:numPr>
        <w:contextualSpacing/>
        <w:ind w:left="568" w:firstLine="0"/>
        <w:jc w:val="both"/>
        <w:spacing w:before="0" w:beforeAutospacing="0" w:after="0" w:afterAutospacing="0"/>
        <w:widowControl w:val="off"/>
        <w:tabs>
          <w:tab w:val="left" w:pos="426" w:leader="none"/>
          <w:tab w:val="clear" w:pos="708" w:leader="none"/>
        </w:tabs>
      </w:pPr>
      <w: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/>
    </w:p>
    <w:p>
      <w:pPr>
        <w:pStyle w:val="787"/>
        <w:numPr>
          <w:ilvl w:val="1"/>
          <w:numId w:val="6"/>
        </w:numPr>
        <w:contextualSpacing/>
        <w:ind w:left="568" w:firstLine="0"/>
        <w:jc w:val="both"/>
        <w:spacing w:before="0" w:beforeAutospacing="0" w:after="0" w:afterAutospacing="0"/>
        <w:widowControl w:val="off"/>
        <w:tabs>
          <w:tab w:val="left" w:pos="426" w:leader="none"/>
          <w:tab w:val="clear" w:pos="708" w:leader="none"/>
        </w:tabs>
      </w:pPr>
      <w:r>
        <w:t xml:space="preserve">Дополнительные документы по ценообразованию (сметная документация) в состав заявки Участника не включаются. </w:t>
      </w:r>
      <w:r/>
    </w:p>
    <w:p>
      <w:pPr>
        <w:pStyle w:val="668"/>
        <w:numPr>
          <w:ilvl w:val="0"/>
          <w:numId w:val="0"/>
        </w:numPr>
        <w:ind w:left="0" w:firstLine="0"/>
        <w:jc w:val="center"/>
        <w:rPr>
          <w:b/>
          <w:bCs w:val="0"/>
          <w:i w:val="0"/>
          <w:sz w:val="26"/>
          <w:szCs w:val="26"/>
        </w:rPr>
      </w:pPr>
      <w:r>
        <w:rPr>
          <w:b/>
          <w:bCs/>
          <w:i w:val="0"/>
          <w:iCs w:val="0"/>
          <w:sz w:val="26"/>
          <w:szCs w:val="26"/>
        </w:rPr>
        <w:t xml:space="preserve"> </w:t>
      </w:r>
      <w:r>
        <w:rPr>
          <w:b/>
          <w:bCs/>
          <w:i w:val="0"/>
          <w:iCs w:val="0"/>
          <w:sz w:val="26"/>
          <w:szCs w:val="26"/>
        </w:rPr>
        <w:t xml:space="preserve">4. Требования к документации по ценообразованию на этапе заключения (исполнения) договора</w:t>
      </w:r>
      <w:r>
        <w:rPr>
          <w:b/>
          <w:bCs w:val="0"/>
          <w:i w:val="0"/>
          <w:sz w:val="26"/>
          <w:szCs w:val="26"/>
        </w:rPr>
      </w:r>
    </w:p>
    <w:p>
      <w:pPr>
        <w:pStyle w:val="667"/>
        <w:ind w:left="0" w:right="0" w:firstLine="720"/>
        <w:jc w:val="both"/>
        <w:spacing w:before="0" w:beforeAutospacing="0" w:after="0" w:afterAutospacing="0"/>
        <w:rPr>
          <w:rFonts w:ascii="Times New Roman" w:hAnsi="Times New Roman" w:cs="Times New Roman"/>
          <w:bCs w:val="0"/>
          <w:i w:val="0"/>
          <w:sz w:val="22"/>
          <w:szCs w:val="22"/>
        </w:rPr>
      </w:pPr>
      <w:r>
        <w:rPr>
          <w:rFonts w:cs="Times New Roman"/>
          <w:bCs w:val="0"/>
          <w:i w:val="0"/>
          <w:sz w:val="24"/>
          <w:szCs w:val="24"/>
        </w:rPr>
        <w:t xml:space="preserve">4.1.1. Сметная документация разрабатывается </w:t>
      </w:r>
      <w:r>
        <w:rPr>
          <w:rFonts w:eastAsia="Times New Roman" w:cs="Times New Roman"/>
          <w:bCs/>
          <w:i w:val="0"/>
          <w:iCs w:val="0"/>
          <w:sz w:val="24"/>
          <w:szCs w:val="24"/>
        </w:rPr>
        <w:t xml:space="preserve">Участником, с которым принято решение заключить договор</w:t>
      </w:r>
      <w:r>
        <w:rPr>
          <w:rFonts w:eastAsia="Times New Roman" w:cs="Times New Roman"/>
          <w:bCs w:val="0"/>
          <w:i w:val="0"/>
          <w:iCs w:val="0"/>
          <w:sz w:val="24"/>
          <w:szCs w:val="24"/>
        </w:rPr>
        <w:t xml:space="preserve"> на этапе заклю</w:t>
      </w:r>
      <w:r>
        <w:rPr>
          <w:rFonts w:cs="Times New Roman"/>
          <w:bCs w:val="0"/>
          <w:i w:val="0"/>
          <w:sz w:val="24"/>
          <w:szCs w:val="24"/>
        </w:rPr>
        <w:t xml:space="preserve">чения ( исполнения) договора в соответствие с требованиями по оформлению и составлению документации по ценообразованию (Приложение №2 к настоящим ТТ)</w:t>
      </w:r>
      <w:r>
        <w:rPr>
          <w:rFonts w:ascii="Times New Roman" w:hAnsi="Times New Roman" w:cs="Times New Roman"/>
          <w:bCs w:val="0"/>
          <w:i w:val="0"/>
          <w:sz w:val="22"/>
          <w:szCs w:val="22"/>
        </w:rPr>
      </w:r>
    </w:p>
    <w:p>
      <w:pPr>
        <w:pStyle w:val="667"/>
        <w:ind w:left="0" w:right="0" w:firstLine="720"/>
        <w:jc w:val="both"/>
        <w:spacing w:before="0" w:beforeAutospacing="0" w:after="0" w:afterAutospacing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eastAsia="Times New Roman" w:cs="Times New Roman"/>
          <w:i w:val="0"/>
          <w:iCs w:val="0"/>
          <w:sz w:val="24"/>
          <w:szCs w:val="24"/>
        </w:rPr>
        <w:t xml:space="preserve">4.1.2. Если стоимость по смете, ра</w:t>
      </w:r>
      <w:r>
        <w:rPr>
          <w:rFonts w:eastAsia="Times New Roman" w:cs="Times New Roman"/>
          <w:i w:val="0"/>
          <w:iCs w:val="0"/>
          <w:sz w:val="24"/>
          <w:szCs w:val="24"/>
        </w:rPr>
        <w:t xml:space="preserve">зработанной Подрядчиком,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  <w:r>
        <w:rPr>
          <w:rFonts w:ascii="Times New Roman" w:hAnsi="Times New Roman" w:cs="Times New Roman"/>
          <w:i/>
          <w:iCs/>
          <w:sz w:val="20"/>
          <w:szCs w:val="20"/>
        </w:rPr>
      </w:r>
    </w:p>
    <w:p>
      <w:pPr>
        <w:pStyle w:val="787"/>
        <w:contextualSpacing/>
        <w:ind w:left="0" w:right="0" w:firstLine="720"/>
        <w:jc w:val="both"/>
        <w:spacing w:before="0" w:beforeAutospacing="0" w:after="0" w:afterAutospacing="0"/>
        <w:shd w:val="clear" w:color="auto" w:fill="ffffff"/>
        <w:tabs>
          <w:tab w:val="clear" w:pos="708" w:leader="none"/>
          <w:tab w:val="left" w:pos="709" w:leader="none"/>
        </w:tabs>
        <w:rPr>
          <w:rFonts w:eastAsia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eastAsia="Times New Roman" w:cs="Times New Roman"/>
          <w:i w:val="0"/>
          <w:iCs w:val="0"/>
          <w:sz w:val="24"/>
          <w:szCs w:val="24"/>
        </w:rPr>
        <w:t xml:space="preserve">4.1.3. Если стоимость по смете, разработанной Подрядчиком,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rFonts w:eastAsia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787"/>
        <w:contextualSpacing/>
        <w:ind w:left="567" w:right="0" w:firstLine="510"/>
        <w:jc w:val="center"/>
        <w:spacing w:before="0" w:beforeAutospacing="0" w:after="0" w:afterAutospacing="0"/>
        <w:shd w:val="clear" w:color="auto" w:fill="ffffff"/>
        <w:tabs>
          <w:tab w:val="clear" w:pos="708" w:leader="none"/>
          <w:tab w:val="left" w:pos="709" w:leader="none"/>
        </w:tabs>
        <w:rPr>
          <w:b/>
          <w:bCs/>
          <w:color w:val="000000" w:themeColor="text1"/>
          <w:sz w:val="26"/>
          <w:szCs w:val="26"/>
          <w:highlight w:val="none"/>
        </w:rPr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  <w:highlight w:val="none"/>
        </w:rPr>
      </w:r>
    </w:p>
    <w:p>
      <w:pPr>
        <w:pStyle w:val="787"/>
        <w:contextualSpacing/>
        <w:ind w:left="567" w:right="0" w:firstLine="510"/>
        <w:jc w:val="center"/>
        <w:spacing w:before="0" w:beforeAutospacing="0" w:after="0" w:afterAutospacing="0"/>
        <w:shd w:val="clear" w:color="auto" w:fill="ffffff"/>
        <w:tabs>
          <w:tab w:val="clear" w:pos="708" w:leader="none"/>
          <w:tab w:val="left" w:pos="709" w:leader="none"/>
        </w:tabs>
        <w:rPr>
          <w:rFonts w:eastAsia="Times New Roman" w:cs="Times New Roman"/>
          <w:b/>
          <w:bCs w:val="0"/>
          <w:i w:val="0"/>
          <w:sz w:val="26"/>
          <w:szCs w:val="26"/>
          <w:highlight w:val="none"/>
        </w:rPr>
      </w:pPr>
      <w:r>
        <w:rPr>
          <w:rFonts w:eastAsia="Times New Roman" w:cs="Times New Roman"/>
          <w:b/>
          <w:bCs/>
          <w:i w:val="0"/>
          <w:iCs w:val="0"/>
          <w:sz w:val="26"/>
          <w:szCs w:val="26"/>
        </w:rPr>
        <w:t xml:space="preserve">5. Приложения</w:t>
      </w:r>
      <w:r>
        <w:rPr>
          <w:rFonts w:eastAsia="Times New Roman" w:cs="Times New Roman"/>
          <w:b/>
          <w:bCs w:val="0"/>
          <w:i w:val="0"/>
          <w:sz w:val="26"/>
          <w:szCs w:val="26"/>
          <w:highlight w:val="none"/>
        </w:rPr>
      </w:r>
    </w:p>
    <w:p>
      <w:pPr>
        <w:pStyle w:val="787"/>
        <w:contextualSpacing/>
        <w:ind w:left="567" w:right="0" w:firstLine="510"/>
        <w:jc w:val="left"/>
        <w:spacing w:before="0" w:beforeAutospacing="0" w:after="0" w:afterAutospacing="0"/>
        <w:shd w:val="clear" w:color="auto" w:fill="ffffff"/>
        <w:tabs>
          <w:tab w:val="clear" w:pos="708" w:leader="none"/>
          <w:tab w:val="left" w:pos="709" w:leader="none"/>
        </w:tabs>
        <w:rPr>
          <w:rFonts w:eastAsia="Times New Roman" w:cs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eastAsia="Times New Roman" w:cs="Times New Roman"/>
          <w:b w:val="0"/>
          <w:bCs w:val="0"/>
          <w:i w:val="0"/>
          <w:iCs w:val="0"/>
          <w:sz w:val="24"/>
          <w:szCs w:val="24"/>
        </w:rPr>
        <w:t xml:space="preserve">Приложение 1 – Техническое задание</w:t>
      </w:r>
      <w:r>
        <w:rPr>
          <w:rFonts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pStyle w:val="787"/>
        <w:contextualSpacing/>
        <w:ind w:left="567" w:right="0" w:firstLine="510"/>
        <w:jc w:val="left"/>
        <w:spacing w:before="0" w:beforeAutospacing="0" w:after="0" w:afterAutospacing="0"/>
        <w:shd w:val="clear" w:color="auto" w:fill="ffffff"/>
        <w:tabs>
          <w:tab w:val="clear" w:pos="708" w:leader="none"/>
          <w:tab w:val="left" w:pos="709" w:leader="none"/>
        </w:tabs>
        <w:rPr>
          <w:rFonts w:eastAsia="Times New Roman" w:cs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eastAsia="Times New Roman" w:cs="Times New Roman"/>
          <w:b w:val="0"/>
          <w:bCs w:val="0"/>
          <w:i w:val="0"/>
          <w:iCs w:val="0"/>
          <w:sz w:val="24"/>
          <w:szCs w:val="24"/>
        </w:rPr>
        <w:t xml:space="preserve">Приложение 2 - Требования к составлению и оформлению документации по ценообразованию</w:t>
      </w:r>
      <w:r>
        <w:rPr>
          <w:rFonts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pStyle w:val="787"/>
        <w:contextualSpacing/>
        <w:ind w:left="567" w:right="0" w:firstLine="510"/>
        <w:jc w:val="left"/>
        <w:spacing w:before="0" w:beforeAutospacing="0" w:after="0" w:afterAutospacing="0"/>
        <w:shd w:val="clear" w:color="auto" w:fill="ffffff"/>
        <w:tabs>
          <w:tab w:val="clear" w:pos="708" w:leader="none"/>
          <w:tab w:val="left" w:pos="709" w:leader="none"/>
        </w:tabs>
        <w:rPr>
          <w:rFonts w:eastAsia="Times New Roman" w:cs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eastAsia="Times New Roman" w:cs="Times New Roman"/>
          <w:b w:val="0"/>
          <w:bCs w:val="0"/>
          <w:i w:val="0"/>
          <w:iCs w:val="0"/>
          <w:sz w:val="24"/>
          <w:szCs w:val="24"/>
        </w:rPr>
        <w:t xml:space="preserve">Приложение 3 - </w:t>
      </w:r>
      <w:r>
        <w:rPr>
          <w:rFonts w:eastAsia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  <w:lang w:val="ru-RU" w:eastAsia="ru-RU" w:bidi="ar-SA"/>
        </w:rPr>
        <w:t xml:space="preserve">Инструкция о пропускном и внутриобъектовом режимах на объектах СП «Амурские тепловые сети» АО «ДГК»</w:t>
      </w:r>
      <w:r>
        <w:rPr>
          <w:rFonts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pStyle w:val="787"/>
        <w:contextualSpacing/>
        <w:ind w:left="567" w:right="0" w:firstLine="510"/>
        <w:jc w:val="left"/>
        <w:spacing w:before="0" w:beforeAutospacing="0" w:after="0" w:afterAutospacing="0"/>
        <w:shd w:val="clear" w:color="auto" w:fill="ffffff"/>
        <w:tabs>
          <w:tab w:val="clear" w:pos="708" w:leader="none"/>
          <w:tab w:val="left" w:pos="709" w:leader="none"/>
        </w:tabs>
        <w:rPr>
          <w:rFonts w:eastAsia="Times New Roman" w:cs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eastAsia="Times New Roman" w:cs="Times New Roman"/>
          <w:b w:val="0"/>
          <w:bCs w:val="0"/>
          <w:i w:val="0"/>
          <w:iCs w:val="0"/>
          <w:sz w:val="24"/>
          <w:szCs w:val="24"/>
        </w:rPr>
        <w:t xml:space="preserve">Приложение 4 - </w:t>
      </w:r>
      <w:r>
        <w:rPr>
          <w:rFonts w:eastAsia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  <w:lang w:val="ru-RU" w:eastAsia="ru-RU" w:bidi="ar-SA"/>
        </w:rPr>
        <w:t xml:space="preserve">Положение о допуске персонала подрядных организаций к выполнению работ на объектах АО «ДГК»</w:t>
      </w:r>
      <w:r>
        <w:rPr>
          <w:rFonts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pStyle w:val="787"/>
        <w:contextualSpacing/>
        <w:ind w:left="567" w:right="0" w:firstLine="510"/>
        <w:jc w:val="left"/>
        <w:spacing w:before="0" w:beforeAutospacing="0" w:after="0" w:afterAutospacing="0"/>
        <w:shd w:val="clear" w:color="auto" w:fill="ffffff"/>
        <w:tabs>
          <w:tab w:val="clear" w:pos="708" w:leader="none"/>
          <w:tab w:val="left" w:pos="709" w:leader="none"/>
        </w:tabs>
        <w:rPr>
          <w:sz w:val="24"/>
          <w:szCs w:val="24"/>
        </w:rPr>
      </w:pPr>
      <w:r/>
      <w:r>
        <w:rPr>
          <w:sz w:val="24"/>
          <w:szCs w:val="24"/>
        </w:rPr>
      </w:r>
    </w:p>
    <w:sectPr>
      <w:headerReference w:type="default" r:id="rId10"/>
      <w:headerReference w:type="first" r:id="rId11"/>
      <w:footnotePr/>
      <w:endnotePr/>
      <w:type w:val="nextPage"/>
      <w:pgSz w:w="16838" w:h="11906" w:orient="landscape"/>
      <w:pgMar w:top="1134" w:right="1134" w:bottom="851" w:left="992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Tahoma">
    <w:panose1 w:val="020B0604030504040204"/>
  </w:font>
  <w:font w:name="Noto Sans CJK SC">
    <w:panose1 w:val="020B0502040504020204"/>
  </w:font>
  <w:font w:name="Cambria">
    <w:panose1 w:val="02040803050406030204"/>
  </w:font>
  <w:font w:name="Calibri">
    <w:panose1 w:val="020F0502020204030204"/>
  </w:font>
  <w:font w:name="Wingdings">
    <w:panose1 w:val="05010000000000000000"/>
  </w:font>
  <w:font w:name="Liberation Sans">
    <w:panose1 w:val="020B0604020202020204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68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670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pStyle w:val="807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i/>
        <w:i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6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7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668">
    <w:name w:val="Heading 1"/>
    <w:basedOn w:val="670"/>
    <w:next w:val="667"/>
    <w:qFormat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669">
    <w:name w:val="Heading 2"/>
    <w:basedOn w:val="671"/>
    <w:next w:val="667"/>
    <w:qFormat/>
    <w:pPr>
      <w:outlineLvl w:val="1"/>
    </w:pPr>
  </w:style>
  <w:style w:type="paragraph" w:styleId="670">
    <w:name w:val="Heading 3"/>
    <w:basedOn w:val="667"/>
    <w:next w:val="667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671">
    <w:name w:val="Heading 4"/>
    <w:basedOn w:val="670"/>
    <w:next w:val="667"/>
    <w:qFormat/>
    <w:pPr>
      <w:numPr>
        <w:ilvl w:val="0"/>
        <w:numId w:val="0"/>
      </w:numPr>
      <w:ind w:left="1440" w:hanging="720"/>
      <w:tabs>
        <w:tab w:val="clear" w:pos="708" w:leader="none"/>
        <w:tab w:val="left" w:pos="1440" w:leader="none"/>
      </w:tabs>
      <w:outlineLvl w:val="3"/>
    </w:pPr>
    <w:rPr>
      <w:bCs/>
    </w:rPr>
  </w:style>
  <w:style w:type="paragraph" w:styleId="672">
    <w:name w:val="Heading 5"/>
    <w:basedOn w:val="667"/>
    <w:next w:val="66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73">
    <w:name w:val="Heading 6"/>
    <w:basedOn w:val="667"/>
    <w:next w:val="667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674">
    <w:name w:val="Heading 7"/>
    <w:basedOn w:val="667"/>
    <w:next w:val="667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675">
    <w:name w:val="Heading 8"/>
    <w:basedOn w:val="667"/>
    <w:next w:val="667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676">
    <w:name w:val="Heading 9"/>
    <w:basedOn w:val="667"/>
    <w:next w:val="66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677">
    <w:name w:val="Hyperlink"/>
    <w:uiPriority w:val="99"/>
    <w:rPr>
      <w:color w:val="0000ff"/>
      <w:u w:val="single"/>
    </w:rPr>
  </w:style>
  <w:style w:type="character" w:styleId="678">
    <w:name w:val="Символ сноски"/>
    <w:basedOn w:val="682"/>
    <w:uiPriority w:val="99"/>
    <w:unhideWhenUsed/>
    <w:qFormat/>
    <w:rPr>
      <w:vertAlign w:val="superscript"/>
    </w:rPr>
  </w:style>
  <w:style w:type="character" w:styleId="679">
    <w:name w:val="footnote reference"/>
    <w:rPr>
      <w:vertAlign w:val="superscript"/>
    </w:rPr>
  </w:style>
  <w:style w:type="character" w:styleId="680">
    <w:name w:val="Символ концевой сноски"/>
    <w:basedOn w:val="682"/>
    <w:uiPriority w:val="99"/>
    <w:semiHidden/>
    <w:unhideWhenUsed/>
    <w:qFormat/>
    <w:rPr>
      <w:vertAlign w:val="superscript"/>
    </w:rPr>
  </w:style>
  <w:style w:type="character" w:styleId="681">
    <w:name w:val="endnote reference"/>
    <w:rPr>
      <w:vertAlign w:val="superscript"/>
    </w:rPr>
  </w:style>
  <w:style w:type="character" w:styleId="682" w:default="1">
    <w:name w:val="Default Paragraph Font"/>
    <w:uiPriority w:val="1"/>
    <w:semiHidden/>
    <w:unhideWhenUsed/>
    <w:qFormat/>
  </w:style>
  <w:style w:type="character" w:styleId="683" w:customStyle="1">
    <w:name w:val="Title Char"/>
    <w:basedOn w:val="682"/>
    <w:uiPriority w:val="10"/>
    <w:qFormat/>
    <w:rPr>
      <w:sz w:val="48"/>
      <w:szCs w:val="48"/>
    </w:rPr>
  </w:style>
  <w:style w:type="character" w:styleId="684" w:customStyle="1">
    <w:name w:val="Heading 1 Char"/>
    <w:basedOn w:val="682"/>
    <w:uiPriority w:val="9"/>
    <w:qFormat/>
    <w:rPr>
      <w:rFonts w:ascii="Arial" w:hAnsi="Arial" w:eastAsia="Arial" w:cs="Arial"/>
      <w:sz w:val="40"/>
      <w:szCs w:val="40"/>
    </w:rPr>
  </w:style>
  <w:style w:type="character" w:styleId="685" w:customStyle="1">
    <w:name w:val="Heading 2 Char"/>
    <w:basedOn w:val="682"/>
    <w:uiPriority w:val="9"/>
    <w:qFormat/>
    <w:rPr>
      <w:rFonts w:ascii="Arial" w:hAnsi="Arial" w:eastAsia="Arial" w:cs="Arial"/>
      <w:sz w:val="34"/>
    </w:rPr>
  </w:style>
  <w:style w:type="character" w:styleId="686" w:customStyle="1">
    <w:name w:val="Heading 3 Char"/>
    <w:basedOn w:val="682"/>
    <w:uiPriority w:val="9"/>
    <w:qFormat/>
    <w:rPr>
      <w:rFonts w:ascii="Arial" w:hAnsi="Arial" w:eastAsia="Arial" w:cs="Arial"/>
      <w:sz w:val="30"/>
      <w:szCs w:val="30"/>
    </w:rPr>
  </w:style>
  <w:style w:type="character" w:styleId="687" w:customStyle="1">
    <w:name w:val="Heading 4 Char"/>
    <w:basedOn w:val="682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Heading 5 Char"/>
    <w:basedOn w:val="68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Heading 6 Char"/>
    <w:basedOn w:val="68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Heading 7 Char"/>
    <w:basedOn w:val="682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Heading 8 Char"/>
    <w:basedOn w:val="682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Heading 9 Char"/>
    <w:basedOn w:val="68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3" w:customStyle="1">
    <w:name w:val="Заголовок Знак"/>
    <w:basedOn w:val="682"/>
    <w:uiPriority w:val="10"/>
    <w:qFormat/>
    <w:rPr>
      <w:sz w:val="48"/>
      <w:szCs w:val="48"/>
    </w:rPr>
  </w:style>
  <w:style w:type="character" w:styleId="694" w:customStyle="1">
    <w:name w:val="Subtitle Char"/>
    <w:basedOn w:val="682"/>
    <w:uiPriority w:val="11"/>
    <w:qFormat/>
    <w:rPr>
      <w:sz w:val="24"/>
      <w:szCs w:val="24"/>
    </w:rPr>
  </w:style>
  <w:style w:type="character" w:styleId="695" w:customStyle="1">
    <w:name w:val="Quote Char"/>
    <w:uiPriority w:val="29"/>
    <w:qFormat/>
    <w:rPr>
      <w:i/>
    </w:rPr>
  </w:style>
  <w:style w:type="character" w:styleId="696" w:customStyle="1">
    <w:name w:val="Intense Quote Char"/>
    <w:uiPriority w:val="30"/>
    <w:qFormat/>
    <w:rPr>
      <w:i/>
    </w:rPr>
  </w:style>
  <w:style w:type="character" w:styleId="697" w:customStyle="1">
    <w:name w:val="Header Char"/>
    <w:basedOn w:val="682"/>
    <w:uiPriority w:val="99"/>
    <w:qFormat/>
  </w:style>
  <w:style w:type="character" w:styleId="698" w:customStyle="1">
    <w:name w:val="Footer Char"/>
    <w:basedOn w:val="682"/>
    <w:uiPriority w:val="99"/>
    <w:qFormat/>
  </w:style>
  <w:style w:type="character" w:styleId="699" w:customStyle="1">
    <w:name w:val="Caption Char"/>
    <w:uiPriority w:val="99"/>
    <w:qFormat/>
  </w:style>
  <w:style w:type="character" w:styleId="700" w:customStyle="1">
    <w:name w:val="Footnote Text Char"/>
    <w:uiPriority w:val="99"/>
    <w:qFormat/>
    <w:rPr>
      <w:sz w:val="18"/>
    </w:rPr>
  </w:style>
  <w:style w:type="character" w:styleId="701" w:customStyle="1">
    <w:name w:val="Endnote Text Char"/>
    <w:uiPriority w:val="99"/>
    <w:qFormat/>
    <w:rPr>
      <w:sz w:val="20"/>
    </w:rPr>
  </w:style>
  <w:style w:type="character" w:styleId="702">
    <w:name w:val="Footnote Characters"/>
    <w:qFormat/>
    <w:rPr>
      <w:vertAlign w:val="superscript"/>
    </w:rPr>
  </w:style>
  <w:style w:type="character" w:styleId="703">
    <w:name w:val="page number"/>
    <w:basedOn w:val="682"/>
    <w:qFormat/>
  </w:style>
  <w:style w:type="character" w:styleId="704">
    <w:name w:val="annotation reference"/>
    <w:uiPriority w:val="99"/>
    <w:semiHidden/>
    <w:qFormat/>
    <w:rPr>
      <w:sz w:val="16"/>
      <w:szCs w:val="16"/>
    </w:rPr>
  </w:style>
  <w:style w:type="character" w:styleId="705">
    <w:name w:val="Strong"/>
    <w:qFormat/>
    <w:rPr>
      <w:b/>
      <w:bCs/>
    </w:rPr>
  </w:style>
  <w:style w:type="character" w:styleId="70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0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70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709" w:customStyle="1">
    <w:name w:val="Заголовок 1 Знак"/>
    <w:qFormat/>
    <w:rPr>
      <w:rFonts w:eastAsia="Calibri"/>
      <w:b/>
      <w:sz w:val="28"/>
      <w:szCs w:val="28"/>
    </w:rPr>
  </w:style>
  <w:style w:type="character" w:styleId="710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711" w:customStyle="1">
    <w:name w:val="Заголовок 3 Знак"/>
    <w:qFormat/>
    <w:rPr>
      <w:rFonts w:eastAsia="Calibri"/>
      <w:b/>
      <w:sz w:val="24"/>
      <w:szCs w:val="24"/>
    </w:rPr>
  </w:style>
  <w:style w:type="character" w:styleId="712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713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714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715" w:customStyle="1">
    <w:name w:val="Название Знак"/>
    <w:uiPriority w:val="10"/>
    <w:qFormat/>
    <w:rPr>
      <w:sz w:val="28"/>
    </w:rPr>
  </w:style>
  <w:style w:type="character" w:styleId="716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717">
    <w:name w:val="Emphasis"/>
    <w:uiPriority w:val="20"/>
    <w:qFormat/>
    <w:rPr>
      <w:i/>
      <w:iCs/>
    </w:rPr>
  </w:style>
  <w:style w:type="character" w:styleId="718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719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720">
    <w:name w:val="Subtle Emphasis"/>
    <w:uiPriority w:val="19"/>
    <w:qFormat/>
    <w:rPr>
      <w:i/>
      <w:iCs/>
      <w:color w:val="808080"/>
    </w:rPr>
  </w:style>
  <w:style w:type="character" w:styleId="721">
    <w:name w:val="Intense Emphasis"/>
    <w:uiPriority w:val="21"/>
    <w:qFormat/>
    <w:rPr>
      <w:b/>
      <w:bCs/>
      <w:i/>
      <w:iCs/>
      <w:color w:val="4f81bd"/>
    </w:rPr>
  </w:style>
  <w:style w:type="character" w:styleId="722">
    <w:name w:val="Subtle Reference"/>
    <w:uiPriority w:val="31"/>
    <w:qFormat/>
    <w:rPr>
      <w:smallCaps/>
      <w:color w:val="c0504d"/>
      <w:u w:val="single"/>
    </w:rPr>
  </w:style>
  <w:style w:type="character" w:styleId="72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724">
    <w:name w:val="Book Title"/>
    <w:uiPriority w:val="33"/>
    <w:qFormat/>
    <w:rPr>
      <w:b/>
      <w:bCs/>
      <w:smallCaps/>
      <w:spacing w:val="5"/>
    </w:rPr>
  </w:style>
  <w:style w:type="character" w:styleId="725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726" w:customStyle="1">
    <w:name w:val="Подпункт Знак1"/>
    <w:qFormat/>
    <w:rPr>
      <w:sz w:val="28"/>
    </w:rPr>
  </w:style>
  <w:style w:type="character" w:styleId="727" w:customStyle="1">
    <w:name w:val="Текст сноски Знак"/>
    <w:uiPriority w:val="99"/>
    <w:qFormat/>
  </w:style>
  <w:style w:type="character" w:styleId="728" w:customStyle="1">
    <w:name w:val="Основной текст Знак"/>
    <w:qFormat/>
    <w:rPr>
      <w:sz w:val="28"/>
      <w:szCs w:val="28"/>
    </w:rPr>
  </w:style>
  <w:style w:type="character" w:styleId="729" w:customStyle="1">
    <w:name w:val="blk"/>
    <w:qFormat/>
  </w:style>
  <w:style w:type="character" w:styleId="730" w:customStyle="1">
    <w:name w:val="Абзац списка Знак"/>
    <w:qFormat/>
    <w:rPr>
      <w:rFonts w:eastAsia="Calibri"/>
      <w:sz w:val="24"/>
      <w:szCs w:val="24"/>
    </w:rPr>
  </w:style>
  <w:style w:type="character" w:styleId="731" w:customStyle="1">
    <w:name w:val="комментарий"/>
    <w:qFormat/>
    <w:rPr>
      <w:b/>
      <w:i/>
      <w:shd w:val="clear" w:color="auto" w:fill="ffff99"/>
    </w:rPr>
  </w:style>
  <w:style w:type="character" w:styleId="732" w:customStyle="1">
    <w:name w:val="Подподпункт Знак"/>
    <w:qFormat/>
    <w:rPr>
      <w:sz w:val="26"/>
      <w:szCs w:val="26"/>
    </w:rPr>
  </w:style>
  <w:style w:type="character" w:styleId="733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734" w:customStyle="1">
    <w:name w:val="Верхний колонтитул Знак"/>
    <w:uiPriority w:val="99"/>
    <w:qFormat/>
    <w:rPr>
      <w:sz w:val="24"/>
      <w:szCs w:val="24"/>
    </w:rPr>
  </w:style>
  <w:style w:type="character" w:styleId="735" w:customStyle="1">
    <w:name w:val="Текст примечания Знак"/>
    <w:qFormat/>
  </w:style>
  <w:style w:type="character" w:styleId="736" w:customStyle="1">
    <w:name w:val="Текст концевой сноски Знак"/>
    <w:basedOn w:val="682"/>
    <w:qFormat/>
  </w:style>
  <w:style w:type="character" w:styleId="737">
    <w:name w:val="Endnote Characters"/>
    <w:basedOn w:val="682"/>
    <w:qFormat/>
    <w:rPr>
      <w:vertAlign w:val="superscript"/>
    </w:rPr>
  </w:style>
  <w:style w:type="character" w:styleId="738" w:customStyle="1">
    <w:name w:val="Пункт2 Знак"/>
    <w:qFormat/>
    <w:rPr>
      <w:b/>
      <w:sz w:val="28"/>
    </w:rPr>
  </w:style>
  <w:style w:type="character" w:styleId="739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740" w:customStyle="1">
    <w:name w:val="Неразрешенное упоминание1"/>
    <w:basedOn w:val="682"/>
    <w:uiPriority w:val="99"/>
    <w:semiHidden/>
    <w:unhideWhenUsed/>
    <w:qFormat/>
    <w:rPr>
      <w:color w:val="605e5c"/>
      <w:shd w:val="clear" w:color="auto" w:fill="e1dfdd"/>
    </w:rPr>
  </w:style>
  <w:style w:type="character" w:styleId="741" w:customStyle="1">
    <w:name w:val="Основной текст с отступом 3 Знак"/>
    <w:uiPriority w:val="99"/>
    <w:qFormat/>
    <w:rPr>
      <w:sz w:val="16"/>
      <w:szCs w:val="16"/>
    </w:rPr>
  </w:style>
  <w:style w:type="character" w:styleId="742" w:customStyle="1">
    <w:name w:val="Нижний колонтитул Знак"/>
    <w:uiPriority w:val="99"/>
    <w:qFormat/>
    <w:rPr>
      <w:sz w:val="28"/>
      <w:szCs w:val="28"/>
    </w:rPr>
  </w:style>
  <w:style w:type="character" w:styleId="743" w:customStyle="1">
    <w:name w:val="Знак Знак Знак1"/>
    <w:qFormat/>
    <w:rPr>
      <w:rFonts w:ascii="Arial" w:hAnsi="Arial"/>
      <w:b/>
      <w:sz w:val="32"/>
      <w:lang w:val="ru-RU" w:eastAsia="ru-RU" w:bidi="ar-SA"/>
    </w:rPr>
  </w:style>
  <w:style w:type="character" w:styleId="744">
    <w:name w:val="Ссылка указателя"/>
    <w:qFormat/>
  </w:style>
  <w:style w:type="paragraph" w:styleId="745">
    <w:name w:val="Заголовок"/>
    <w:basedOn w:val="667"/>
    <w:next w:val="746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46">
    <w:name w:val="Body Text"/>
    <w:basedOn w:val="667"/>
    <w:pPr>
      <w:spacing w:before="0" w:after="120"/>
    </w:pPr>
  </w:style>
  <w:style w:type="paragraph" w:styleId="747">
    <w:name w:val="List"/>
    <w:basedOn w:val="746"/>
    <w:rPr>
      <w:rFonts w:cs="Arial Unicode MS"/>
    </w:rPr>
  </w:style>
  <w:style w:type="paragraph" w:styleId="748">
    <w:name w:val="Caption"/>
    <w:basedOn w:val="667"/>
    <w:next w:val="667"/>
    <w:link w:val="699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749">
    <w:name w:val="Указатель"/>
    <w:basedOn w:val="667"/>
    <w:qFormat/>
    <w:pPr>
      <w:suppressLineNumbers/>
    </w:pPr>
    <w:rPr>
      <w:rFonts w:cs="Arial Unicode MS"/>
    </w:rPr>
  </w:style>
  <w:style w:type="paragraph" w:styleId="750">
    <w:name w:val="Title"/>
    <w:basedOn w:val="667"/>
    <w:next w:val="66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51">
    <w:name w:val="table of figures"/>
    <w:basedOn w:val="667"/>
    <w:next w:val="667"/>
    <w:uiPriority w:val="99"/>
    <w:unhideWhenUsed/>
    <w:qFormat/>
  </w:style>
  <w:style w:type="paragraph" w:styleId="752" w:customStyle="1">
    <w:name w:val="Название раздела инструкции"/>
    <w:basedOn w:val="667"/>
    <w:qFormat/>
    <w:pPr>
      <w:jc w:val="center"/>
    </w:pPr>
    <w:rPr>
      <w:b/>
    </w:rPr>
  </w:style>
  <w:style w:type="paragraph" w:styleId="753" w:customStyle="1">
    <w:name w:val="Раздел положения"/>
    <w:basedOn w:val="667"/>
    <w:qFormat/>
    <w:pPr>
      <w:ind w:left="720" w:hanging="720"/>
      <w:jc w:val="center"/>
      <w:spacing w:before="80" w:after="80"/>
      <w:tabs>
        <w:tab w:val="clear" w:pos="708" w:leader="none"/>
        <w:tab w:val="left" w:pos="720" w:leader="none"/>
      </w:tabs>
    </w:pPr>
    <w:rPr>
      <w:b/>
      <w:sz w:val="32"/>
      <w:szCs w:val="32"/>
    </w:rPr>
  </w:style>
  <w:style w:type="paragraph" w:styleId="754" w:customStyle="1">
    <w:name w:val="Подраздел раздела положения"/>
    <w:basedOn w:val="667"/>
    <w:qFormat/>
    <w:pPr>
      <w:ind w:left="1440" w:hanging="720"/>
      <w:jc w:val="both"/>
      <w:spacing w:before="80" w:after="80"/>
      <w:tabs>
        <w:tab w:val="clear" w:pos="708" w:leader="none"/>
        <w:tab w:val="left" w:pos="1440" w:leader="none"/>
      </w:tabs>
    </w:pPr>
  </w:style>
  <w:style w:type="paragraph" w:styleId="755">
    <w:name w:val="footnote text"/>
    <w:basedOn w:val="667"/>
    <w:uiPriority w:val="99"/>
    <w:rPr>
      <w:sz w:val="20"/>
      <w:szCs w:val="20"/>
    </w:rPr>
  </w:style>
  <w:style w:type="paragraph" w:styleId="756" w:customStyle="1">
    <w:name w:val="Шапка 1"/>
    <w:basedOn w:val="667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757" w:customStyle="1">
    <w:name w:val="Шапка 2"/>
    <w:basedOn w:val="667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758" w:customStyle="1">
    <w:name w:val="Шапка 3"/>
    <w:basedOn w:val="667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759" w:customStyle="1">
    <w:name w:val="Название1"/>
    <w:basedOn w:val="667"/>
    <w:uiPriority w:val="10"/>
    <w:qFormat/>
    <w:pPr>
      <w:jc w:val="center"/>
    </w:pPr>
    <w:rPr>
      <w:szCs w:val="20"/>
    </w:rPr>
  </w:style>
  <w:style w:type="paragraph" w:styleId="760">
    <w:name w:val="Колонтитул"/>
    <w:basedOn w:val="667"/>
    <w:qFormat/>
  </w:style>
  <w:style w:type="paragraph" w:styleId="761">
    <w:name w:val="Header"/>
    <w:basedOn w:val="667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762">
    <w:name w:val="Body Text Indent"/>
    <w:basedOn w:val="667"/>
    <w:pPr>
      <w:ind w:left="360" w:firstLine="0"/>
    </w:pPr>
    <w:rPr>
      <w:sz w:val="24"/>
      <w:szCs w:val="24"/>
    </w:rPr>
  </w:style>
  <w:style w:type="paragraph" w:styleId="763">
    <w:name w:val="Footer"/>
    <w:basedOn w:val="667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64">
    <w:name w:val="Body Text Indent 2"/>
    <w:basedOn w:val="667"/>
    <w:qFormat/>
    <w:pPr>
      <w:ind w:left="283" w:firstLine="0"/>
      <w:spacing w:before="0" w:after="120" w:line="480" w:lineRule="auto"/>
    </w:pPr>
  </w:style>
  <w:style w:type="paragraph" w:styleId="765">
    <w:name w:val="Body Text 3"/>
    <w:basedOn w:val="667"/>
    <w:qFormat/>
    <w:pPr>
      <w:spacing w:before="0" w:after="120"/>
    </w:pPr>
    <w:rPr>
      <w:sz w:val="16"/>
      <w:szCs w:val="16"/>
    </w:rPr>
  </w:style>
  <w:style w:type="paragraph" w:styleId="766">
    <w:name w:val="Body Text Indent 3"/>
    <w:basedOn w:val="667"/>
    <w:uiPriority w:val="99"/>
    <w:qFormat/>
    <w:pPr>
      <w:ind w:left="283" w:firstLine="0"/>
      <w:spacing w:before="0" w:after="120"/>
    </w:pPr>
    <w:rPr>
      <w:sz w:val="16"/>
      <w:szCs w:val="16"/>
    </w:rPr>
  </w:style>
  <w:style w:type="paragraph" w:styleId="767">
    <w:name w:val="Body Text 2"/>
    <w:basedOn w:val="667"/>
    <w:qFormat/>
    <w:pPr>
      <w:spacing w:before="0" w:after="120" w:line="480" w:lineRule="auto"/>
    </w:pPr>
  </w:style>
  <w:style w:type="paragraph" w:styleId="768">
    <w:name w:val="Block Text"/>
    <w:basedOn w:val="667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769" w:customStyle="1">
    <w:name w:val="Подпункт"/>
    <w:basedOn w:val="667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770" w:customStyle="1">
    <w:name w:val="Пункт2"/>
    <w:basedOn w:val="667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771">
    <w:name w:val="toc 1"/>
    <w:basedOn w:val="667"/>
    <w:next w:val="667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772">
    <w:name w:val="toc 3"/>
    <w:basedOn w:val="667"/>
    <w:next w:val="667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773" w:customStyle="1">
    <w:name w:val="Раздел регламента"/>
    <w:basedOn w:val="667"/>
    <w:qFormat/>
  </w:style>
  <w:style w:type="paragraph" w:styleId="774" w:customStyle="1">
    <w:name w:val="Приложение к регламенту"/>
    <w:basedOn w:val="667"/>
    <w:qFormat/>
    <w:pPr>
      <w:jc w:val="right"/>
    </w:pPr>
  </w:style>
  <w:style w:type="paragraph" w:styleId="775">
    <w:name w:val="toc 2"/>
    <w:basedOn w:val="667"/>
    <w:next w:val="667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776">
    <w:name w:val="Balloon Text"/>
    <w:basedOn w:val="667"/>
    <w:semiHidden/>
    <w:qFormat/>
    <w:rPr>
      <w:rFonts w:ascii="Tahoma" w:hAnsi="Tahoma" w:cs="Tahoma"/>
      <w:sz w:val="16"/>
      <w:szCs w:val="16"/>
    </w:rPr>
  </w:style>
  <w:style w:type="paragraph" w:styleId="777">
    <w:name w:val="annotation text"/>
    <w:basedOn w:val="667"/>
    <w:qFormat/>
    <w:rPr>
      <w:sz w:val="20"/>
      <w:szCs w:val="20"/>
    </w:rPr>
  </w:style>
  <w:style w:type="paragraph" w:styleId="778">
    <w:name w:val="annotation subject"/>
    <w:basedOn w:val="777"/>
    <w:next w:val="777"/>
    <w:semiHidden/>
    <w:qFormat/>
    <w:rPr>
      <w:b/>
      <w:bCs/>
    </w:rPr>
  </w:style>
  <w:style w:type="paragraph" w:styleId="779" w:customStyle="1">
    <w:name w:val="Обычный (веб)1"/>
    <w:basedOn w:val="667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780">
    <w:name w:val="toc 9"/>
    <w:basedOn w:val="667"/>
    <w:next w:val="667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781">
    <w:name w:val="toc 5"/>
    <w:basedOn w:val="667"/>
    <w:next w:val="667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782">
    <w:name w:val="toc 4"/>
    <w:basedOn w:val="667"/>
    <w:next w:val="667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783" w:customStyle="1">
    <w:name w:val="Раздел положения 2"/>
    <w:basedOn w:val="667"/>
    <w:qFormat/>
    <w:pPr>
      <w:jc w:val="both"/>
      <w:pageBreakBefore/>
      <w:outlineLvl w:val="0"/>
    </w:pPr>
    <w:rPr>
      <w:b/>
    </w:rPr>
  </w:style>
  <w:style w:type="paragraph" w:styleId="784" w:customStyle="1">
    <w:name w:val="Знак Знак Знак Знак Знак Знак Знак Знак Знак"/>
    <w:basedOn w:val="66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785">
    <w:name w:val="No Spacing"/>
    <w:basedOn w:val="66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786">
    <w:name w:val="Subtitle"/>
    <w:basedOn w:val="667"/>
    <w:next w:val="667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787">
    <w:name w:val="List Paragraph"/>
    <w:basedOn w:val="667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788">
    <w:name w:val="Quote"/>
    <w:basedOn w:val="667"/>
    <w:next w:val="66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789">
    <w:name w:val="Intense Quote"/>
    <w:basedOn w:val="667"/>
    <w:next w:val="667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790">
    <w:name w:val="Index Heading"/>
    <w:basedOn w:val="745"/>
  </w:style>
  <w:style w:type="paragraph" w:styleId="791">
    <w:name w:val="TOC Heading"/>
    <w:basedOn w:val="668"/>
    <w:next w:val="667"/>
    <w:uiPriority w:val="39"/>
    <w:qFormat/>
    <w:pPr>
      <w:numPr>
        <w:ilvl w:val="0"/>
        <w:numId w:val="0"/>
      </w:numPr>
      <w:keepLines/>
      <w:spacing w:before="480" w:after="60"/>
    </w:pPr>
    <w:rPr>
      <w:rFonts w:ascii="Cambria" w:hAnsi="Cambria"/>
      <w:bCs/>
      <w:color w:val="365f91"/>
    </w:rPr>
  </w:style>
  <w:style w:type="paragraph" w:styleId="792">
    <w:name w:val="E-mail Signature"/>
    <w:basedOn w:val="667"/>
    <w:uiPriority w:val="99"/>
    <w:unhideWhenUsed/>
    <w:qFormat/>
    <w:rPr>
      <w:rFonts w:eastAsia="Calibri"/>
      <w:sz w:val="24"/>
      <w:szCs w:val="24"/>
    </w:rPr>
  </w:style>
  <w:style w:type="paragraph" w:styleId="793" w:customStyle="1">
    <w:name w:val="Знак"/>
    <w:basedOn w:val="66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794" w:customStyle="1">
    <w:name w:val="Нумерованный список ур3"/>
    <w:basedOn w:val="667"/>
    <w:qFormat/>
    <w:pPr>
      <w:ind w:left="2160" w:hanging="720"/>
      <w:jc w:val="both"/>
      <w:tabs>
        <w:tab w:val="clear" w:pos="708" w:leader="none"/>
        <w:tab w:val="left" w:pos="2160" w:leader="none"/>
      </w:tabs>
    </w:pPr>
    <w:rPr>
      <w:rFonts w:ascii="Garamond" w:hAnsi="Garamond"/>
      <w:sz w:val="24"/>
      <w:szCs w:val="20"/>
    </w:rPr>
  </w:style>
  <w:style w:type="paragraph" w:styleId="795" w:customStyle="1">
    <w:name w:val="List Bullet 4"/>
    <w:basedOn w:val="667"/>
    <w:qFormat/>
    <w:pPr>
      <w:ind w:left="720" w:hanging="720"/>
      <w:jc w:val="both"/>
      <w:spacing w:before="120" w:after="0"/>
      <w:tabs>
        <w:tab w:val="clear" w:pos="708" w:leader="none"/>
        <w:tab w:val="left" w:pos="720" w:leader="none"/>
      </w:tabs>
    </w:pPr>
    <w:rPr>
      <w:rFonts w:ascii="Garamond" w:hAnsi="Garamond"/>
      <w:sz w:val="24"/>
      <w:szCs w:val="20"/>
    </w:rPr>
  </w:style>
  <w:style w:type="paragraph" w:styleId="796" w:customStyle="1">
    <w:name w:val="Нумерованный список ур2"/>
    <w:basedOn w:val="667"/>
    <w:qFormat/>
    <w:pPr>
      <w:ind w:left="1440" w:hanging="720"/>
      <w:jc w:val="both"/>
      <w:spacing w:before="120" w:after="0"/>
      <w:tabs>
        <w:tab w:val="clear" w:pos="708" w:leader="none"/>
        <w:tab w:val="left" w:pos="1440" w:leader="none"/>
      </w:tabs>
    </w:pPr>
    <w:rPr>
      <w:rFonts w:ascii="Garamond" w:hAnsi="Garamond"/>
      <w:sz w:val="24"/>
      <w:szCs w:val="20"/>
    </w:rPr>
  </w:style>
  <w:style w:type="paragraph" w:styleId="797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Arial Unicode MS"/>
      <w:color w:val="auto"/>
      <w:sz w:val="24"/>
      <w:szCs w:val="24"/>
      <w:lang w:val="ru-RU" w:eastAsia="ru-RU" w:bidi="ar-SA"/>
    </w:rPr>
  </w:style>
  <w:style w:type="paragraph" w:styleId="798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Noto Serif CJK SC" w:cs="Arial"/>
      <w:color w:val="auto"/>
      <w:sz w:val="20"/>
      <w:szCs w:val="20"/>
      <w:lang w:val="ru-RU" w:eastAsia="ru-RU" w:bidi="ar-SA"/>
    </w:rPr>
  </w:style>
  <w:style w:type="paragraph" w:styleId="799" w:customStyle="1">
    <w:name w:val="Знак Знак3 Знак Знак"/>
    <w:basedOn w:val="66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800" w:customStyle="1">
    <w:name w:val="Пункт"/>
    <w:basedOn w:val="667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801" w:customStyle="1">
    <w:name w:val="Абзац списка1"/>
    <w:basedOn w:val="667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802" w:customStyle="1">
    <w:name w:val="Таблица"/>
    <w:basedOn w:val="66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803" w:customStyle="1">
    <w:name w:val="Таблица шапка"/>
    <w:basedOn w:val="667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804" w:customStyle="1">
    <w:name w:val="Подподпункт"/>
    <w:basedOn w:val="769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805" w:customStyle="1">
    <w:name w:val="УРОВЕНЬ_(а)"/>
    <w:basedOn w:val="787"/>
    <w:qFormat/>
    <w:pPr>
      <w:contextualSpacing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806" w:customStyle="1">
    <w:name w:val="УРОВЕНЬ_-"/>
    <w:basedOn w:val="787"/>
    <w:qFormat/>
    <w:pPr>
      <w:contextualSpacing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807" w:customStyle="1">
    <w:name w:val="УРОВЕНЬ_Абзац_тип2"/>
    <w:basedOn w:val="787"/>
    <w:qFormat/>
    <w:pPr>
      <w:numPr>
        <w:ilvl w:val="0"/>
        <w:numId w:val="2"/>
      </w:numPr>
      <w:contextualSpacing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808" w:customStyle="1">
    <w:name w:val="УРОВЕНЬ_Абзац_тип3"/>
    <w:basedOn w:val="787"/>
    <w:qFormat/>
    <w:pPr>
      <w:numPr>
        <w:ilvl w:val="0"/>
        <w:numId w:val="2"/>
      </w:numPr>
      <w:contextualSpacing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809" w:customStyle="1">
    <w:name w:val="УРОВЕНЬ_Подпись"/>
    <w:basedOn w:val="787"/>
    <w:qFormat/>
    <w:pPr>
      <w:contextualSpacing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810" w:customStyle="1">
    <w:name w:val="Стиль Заголовок 1 + по ширине"/>
    <w:basedOn w:val="668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811">
    <w:name w:val="endnote text"/>
    <w:basedOn w:val="667"/>
    <w:rPr>
      <w:sz w:val="20"/>
      <w:szCs w:val="20"/>
    </w:rPr>
  </w:style>
  <w:style w:type="paragraph" w:styleId="812" w:customStyle="1">
    <w:name w:val="Заголовок 2 КВВ"/>
    <w:basedOn w:val="667"/>
    <w:qFormat/>
    <w:pPr>
      <w:ind w:left="720" w:hanging="720"/>
      <w:jc w:val="both"/>
      <w:keepNext/>
      <w:spacing w:before="120" w:after="120"/>
      <w:tabs>
        <w:tab w:val="clear" w:pos="708" w:leader="none"/>
        <w:tab w:val="left" w:pos="720" w:leader="none"/>
      </w:tabs>
      <w:outlineLvl w:val="0"/>
    </w:pPr>
    <w:rPr>
      <w:b/>
      <w:sz w:val="24"/>
      <w:szCs w:val="20"/>
    </w:rPr>
  </w:style>
  <w:style w:type="paragraph" w:styleId="813" w:customStyle="1">
    <w:name w:val="Таблица текст"/>
    <w:basedOn w:val="667"/>
    <w:qFormat/>
    <w:pPr>
      <w:ind w:left="57" w:right="57" w:firstLine="0"/>
      <w:spacing w:before="40" w:after="40"/>
    </w:pPr>
    <w:rPr>
      <w:sz w:val="24"/>
      <w:szCs w:val="26"/>
    </w:rPr>
  </w:style>
  <w:style w:type="paragraph" w:styleId="814">
    <w:name w:val="Normal (Web)"/>
    <w:basedOn w:val="667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815" w:customStyle="1">
    <w:name w:val="УРОВЕНЬ_1."/>
    <w:basedOn w:val="787"/>
    <w:qFormat/>
    <w:pPr>
      <w:contextualSpacing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816">
    <w:name w:val="toc 6"/>
    <w:basedOn w:val="667"/>
    <w:next w:val="667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17">
    <w:name w:val="toc 7"/>
    <w:basedOn w:val="667"/>
    <w:next w:val="667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18">
    <w:name w:val="toc 8"/>
    <w:basedOn w:val="667"/>
    <w:next w:val="667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19" w:customStyle="1">
    <w:name w:val="Без интервала"/>
    <w:next w:val="763"/>
    <w:uiPriority w:val="99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ru-RU" w:bidi="ar-SA"/>
      <w14:ligatures w14:val="none"/>
    </w:rPr>
  </w:style>
  <w:style w:type="paragraph" w:styleId="820" w:customStyle="1">
    <w:name w:val="Default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numbering" w:styleId="821" w:default="1">
    <w:name w:val="No List"/>
    <w:uiPriority w:val="99"/>
    <w:semiHidden/>
    <w:unhideWhenUsed/>
    <w:qFormat/>
  </w:style>
  <w:style w:type="numbering" w:styleId="822" w:customStyle="1">
    <w:name w:val="Стиль1"/>
    <w:uiPriority w:val="99"/>
    <w:qFormat/>
  </w:style>
  <w:style w:type="numbering" w:styleId="823" w:customStyle="1">
    <w:name w:val="Стиль2"/>
    <w:uiPriority w:val="99"/>
    <w:qFormat/>
  </w:style>
  <w:style w:type="table" w:styleId="82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25" w:customStyle="1">
    <w:name w:val="Table Grid Light"/>
    <w:basedOn w:val="82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6">
    <w:name w:val="Plain Table 1"/>
    <w:basedOn w:val="82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27">
    <w:name w:val="Plain Table 2"/>
    <w:basedOn w:val="82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28">
    <w:name w:val="Plain Table 3"/>
    <w:basedOn w:val="82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9">
    <w:name w:val="Plain Table 4"/>
    <w:basedOn w:val="82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Plain Table 5"/>
    <w:basedOn w:val="82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1">
    <w:name w:val="Grid Table 1 Light"/>
    <w:basedOn w:val="82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1"/>
    <w:basedOn w:val="82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2"/>
    <w:basedOn w:val="82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3"/>
    <w:basedOn w:val="82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4"/>
    <w:basedOn w:val="82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5"/>
    <w:basedOn w:val="82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6"/>
    <w:basedOn w:val="82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2"/>
    <w:basedOn w:val="82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1"/>
    <w:basedOn w:val="82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2"/>
    <w:basedOn w:val="82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3"/>
    <w:basedOn w:val="82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4"/>
    <w:basedOn w:val="82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5"/>
    <w:basedOn w:val="82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6"/>
    <w:basedOn w:val="82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"/>
    <w:basedOn w:val="82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1"/>
    <w:basedOn w:val="82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2"/>
    <w:basedOn w:val="82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3"/>
    <w:basedOn w:val="82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4"/>
    <w:basedOn w:val="82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5"/>
    <w:basedOn w:val="82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6"/>
    <w:basedOn w:val="82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4"/>
    <w:basedOn w:val="82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3" w:customStyle="1">
    <w:name w:val="Grid Table 4 - Accent 1"/>
    <w:basedOn w:val="824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cPr>
        <w:shd w:val="clear" w:color="dae3f3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37dc8" w:fill="537dc8" w:themeFill="accent1" w:themeFillTint="EA"/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sz="4" w:space="0"/>
        </w:tcBorders>
      </w:tcPr>
    </w:tblStylePr>
  </w:style>
  <w:style w:type="table" w:styleId="854" w:customStyle="1">
    <w:name w:val="Grid Table 4 - Accent 2"/>
    <w:basedOn w:val="82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855" w:customStyle="1">
    <w:name w:val="Grid Table 4 - Accent 3"/>
    <w:basedOn w:val="82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856" w:customStyle="1">
    <w:name w:val="Grid Table 4 - Accent 4"/>
    <w:basedOn w:val="82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857" w:customStyle="1">
    <w:name w:val="Grid Table 4 - Accent 5"/>
    <w:basedOn w:val="824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58" w:customStyle="1">
    <w:name w:val="Grid Table 4 - Accent 6"/>
    <w:basedOn w:val="82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59">
    <w:name w:val="Grid Table 5 Dark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- Accent 1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2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- Accent 4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 - Accent 5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6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65">
    <w:name w:val="Grid Table 6 Colorful"/>
    <w:basedOn w:val="82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6" w:customStyle="1">
    <w:name w:val="Grid Table 6 Colorful - Accent 1"/>
    <w:basedOn w:val="824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67" w:customStyle="1">
    <w:name w:val="Grid Table 6 Colorful - Accent 2"/>
    <w:basedOn w:val="82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68" w:customStyle="1">
    <w:name w:val="Grid Table 6 Colorful - Accent 3"/>
    <w:basedOn w:val="82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69" w:customStyle="1">
    <w:name w:val="Grid Table 6 Colorful - Accent 4"/>
    <w:basedOn w:val="82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70" w:customStyle="1">
    <w:name w:val="Grid Table 6 Colorful - Accent 5"/>
    <w:basedOn w:val="824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71" w:customStyle="1">
    <w:name w:val="Grid Table 6 Colorful - Accent 6"/>
    <w:basedOn w:val="82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72">
    <w:name w:val="Grid Table 7 Colorful"/>
    <w:basedOn w:val="82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1"/>
    <w:basedOn w:val="824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sz="4" w:space="0"/>
          <w:right w:val="none" w:color="000000" w:sz="4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single" w:color="A0B7E1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2"/>
    <w:basedOn w:val="82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3"/>
    <w:basedOn w:val="82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4"/>
    <w:basedOn w:val="82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5"/>
    <w:basedOn w:val="824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single" w:color="A2C6E7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6"/>
    <w:basedOn w:val="82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"/>
    <w:basedOn w:val="824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1"/>
    <w:basedOn w:val="824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2"/>
    <w:basedOn w:val="824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3"/>
    <w:basedOn w:val="824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4"/>
    <w:basedOn w:val="824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5"/>
    <w:basedOn w:val="824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6"/>
    <w:basedOn w:val="824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2"/>
    <w:basedOn w:val="82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87" w:customStyle="1">
    <w:name w:val="List Table 2 - Accent 1"/>
    <w:basedOn w:val="824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styleId="888" w:customStyle="1">
    <w:name w:val="List Table 2 - Accent 2"/>
    <w:basedOn w:val="82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889" w:customStyle="1">
    <w:name w:val="List Table 2 - Accent 3"/>
    <w:basedOn w:val="82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890" w:customStyle="1">
    <w:name w:val="List Table 2 - Accent 4"/>
    <w:basedOn w:val="82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891" w:customStyle="1">
    <w:name w:val="List Table 2 - Accent 5"/>
    <w:basedOn w:val="824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styleId="892" w:customStyle="1">
    <w:name w:val="List Table 2 - Accent 6"/>
    <w:basedOn w:val="82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893">
    <w:name w:val="List Table 3"/>
    <w:basedOn w:val="82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1"/>
    <w:basedOn w:val="824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2"/>
    <w:basedOn w:val="82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3"/>
    <w:basedOn w:val="82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4"/>
    <w:basedOn w:val="82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5"/>
    <w:basedOn w:val="824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c2e5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6"/>
    <w:basedOn w:val="82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"/>
    <w:basedOn w:val="82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1"/>
    <w:basedOn w:val="824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2"/>
    <w:basedOn w:val="82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3"/>
    <w:basedOn w:val="82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4"/>
    <w:basedOn w:val="82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5"/>
    <w:basedOn w:val="824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6"/>
    <w:basedOn w:val="82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5 Dark"/>
    <w:basedOn w:val="82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8" w:customStyle="1">
    <w:name w:val="List Table 5 Dark - Accent 1"/>
    <w:basedOn w:val="824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9" w:customStyle="1">
    <w:name w:val="List Table 5 Dark - Accent 2"/>
    <w:basedOn w:val="82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10" w:customStyle="1">
    <w:name w:val="List Table 5 Dark - Accent 3"/>
    <w:basedOn w:val="82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11" w:customStyle="1">
    <w:name w:val="List Table 5 Dark - Accent 4"/>
    <w:basedOn w:val="82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12" w:customStyle="1">
    <w:name w:val="List Table 5 Dark - Accent 5"/>
    <w:basedOn w:val="824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9BC2E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13" w:customStyle="1">
    <w:name w:val="List Table 5 Dark - Accent 6"/>
    <w:basedOn w:val="82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14">
    <w:name w:val="List Table 6 Colorful"/>
    <w:basedOn w:val="82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15" w:customStyle="1">
    <w:name w:val="List Table 6 Colorful - Accent 1"/>
    <w:basedOn w:val="824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16" w:customStyle="1">
    <w:name w:val="List Table 6 Colorful - Accent 2"/>
    <w:basedOn w:val="82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917" w:customStyle="1">
    <w:name w:val="List Table 6 Colorful - Accent 3"/>
    <w:basedOn w:val="82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918" w:customStyle="1">
    <w:name w:val="List Table 6 Colorful - Accent 4"/>
    <w:basedOn w:val="82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919" w:customStyle="1">
    <w:name w:val="List Table 6 Colorful - Accent 5"/>
    <w:basedOn w:val="824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sz="4" w:space="0"/>
        </w:tcBorders>
      </w:tcPr>
    </w:tblStylePr>
  </w:style>
  <w:style w:type="table" w:styleId="920" w:customStyle="1">
    <w:name w:val="List Table 6 Colorful - Accent 6"/>
    <w:basedOn w:val="82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921">
    <w:name w:val="List Table 7 Colorful"/>
    <w:basedOn w:val="82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1"/>
    <w:basedOn w:val="824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2"/>
    <w:basedOn w:val="82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3"/>
    <w:basedOn w:val="82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4"/>
    <w:basedOn w:val="82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5"/>
    <w:basedOn w:val="824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sz="4" w:space="0"/>
          <w:right w:val="none" w:color="000000" w:sz="4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single" w:color="9BC2E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6"/>
    <w:basedOn w:val="82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ned - Accent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29" w:customStyle="1">
    <w:name w:val="Lined - Accent 1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930" w:customStyle="1">
    <w:name w:val="Lined - Accent 2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31" w:customStyle="1">
    <w:name w:val="Lined - Accent 3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32" w:customStyle="1">
    <w:name w:val="Lined - Accent 4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33" w:customStyle="1">
    <w:name w:val="Lined - Accent 5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934" w:customStyle="1">
    <w:name w:val="Lined - Accent 6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35" w:customStyle="1">
    <w:name w:val="Bordered &amp; Lined - Accent"/>
    <w:basedOn w:val="82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36" w:customStyle="1">
    <w:name w:val="Bordered &amp; Lined - Accent 1"/>
    <w:basedOn w:val="824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937" w:customStyle="1">
    <w:name w:val="Bordered &amp; Lined - Accent 2"/>
    <w:basedOn w:val="82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38" w:customStyle="1">
    <w:name w:val="Bordered &amp; Lined - Accent 3"/>
    <w:basedOn w:val="82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39" w:customStyle="1">
    <w:name w:val="Bordered &amp; Lined - Accent 4"/>
    <w:basedOn w:val="82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40" w:customStyle="1">
    <w:name w:val="Bordered &amp; Lined - Accent 5"/>
    <w:basedOn w:val="824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941" w:customStyle="1">
    <w:name w:val="Bordered &amp; Lined - Accent 6"/>
    <w:basedOn w:val="82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42" w:customStyle="1">
    <w:name w:val="Bordered"/>
    <w:basedOn w:val="82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43" w:customStyle="1">
    <w:name w:val="Bordered - Accent 1"/>
    <w:basedOn w:val="82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44" w:customStyle="1">
    <w:name w:val="Bordered - Accent 2"/>
    <w:basedOn w:val="82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945" w:customStyle="1">
    <w:name w:val="Bordered - Accent 3"/>
    <w:basedOn w:val="82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946" w:customStyle="1">
    <w:name w:val="Bordered - Accent 4"/>
    <w:basedOn w:val="82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947" w:customStyle="1">
    <w:name w:val="Bordered - Accent 5"/>
    <w:basedOn w:val="82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C2E5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C2E5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C2E5" w:themeColor="accent5" w:sz="12" w:space="0"/>
        </w:tcBorders>
      </w:tcPr>
    </w:tblStylePr>
  </w:style>
  <w:style w:type="table" w:styleId="948" w:customStyle="1">
    <w:name w:val="Bordered - Accent 6"/>
    <w:basedOn w:val="82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949">
    <w:name w:val="Table Grid"/>
    <w:basedOn w:val="824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0" w:customStyle="1">
    <w:name w:val="Сетка таблицы1"/>
    <w:basedOn w:val="824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1" w:customStyle="1">
    <w:name w:val="Grid Table 5 Dark - Accent 3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F0ADD-8290-4A2B-9950-56C96230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lutfullina_ee</cp:lastModifiedBy>
  <cp:revision>25</cp:revision>
  <dcterms:created xsi:type="dcterms:W3CDTF">2024-03-07T10:18:00Z</dcterms:created>
  <dcterms:modified xsi:type="dcterms:W3CDTF">2026-05-28T06:59:15Z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